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9E" w:rsidRDefault="009F249E">
      <w:pPr>
        <w:adjustRightInd w:val="0"/>
        <w:snapToGrid w:val="0"/>
        <w:spacing w:line="360" w:lineRule="auto"/>
        <w:rPr>
          <w:sz w:val="24"/>
          <w:szCs w:val="24"/>
        </w:rPr>
      </w:pPr>
    </w:p>
    <w:p w:rsidR="009F249E" w:rsidRDefault="009F249E">
      <w:pPr>
        <w:jc w:val="center"/>
        <w:rPr>
          <w:rFonts w:ascii="仿宋_GB2312" w:eastAsia="仿宋_GB2312" w:cs="Times New Roman"/>
          <w:b/>
          <w:sz w:val="52"/>
          <w:szCs w:val="52"/>
        </w:rPr>
      </w:pPr>
    </w:p>
    <w:p w:rsidR="009F249E" w:rsidRDefault="00651FE7">
      <w:pPr>
        <w:adjustRightInd w:val="0"/>
        <w:snapToGrid w:val="0"/>
        <w:spacing w:line="312" w:lineRule="auto"/>
        <w:jc w:val="center"/>
        <w:rPr>
          <w:rFonts w:ascii="宋体" w:hAnsi="宋体" w:cs="Times New Roman"/>
          <w:b/>
          <w:sz w:val="52"/>
          <w:szCs w:val="52"/>
        </w:rPr>
      </w:pPr>
      <w:r>
        <w:rPr>
          <w:rFonts w:ascii="宋体" w:hAnsi="宋体" w:cs="Times New Roman" w:hint="eastAsia"/>
          <w:b/>
          <w:sz w:val="52"/>
          <w:szCs w:val="52"/>
        </w:rPr>
        <w:t>工程教育认证现场考查</w:t>
      </w:r>
    </w:p>
    <w:p w:rsidR="009F249E" w:rsidRDefault="00651FE7">
      <w:pPr>
        <w:keepNext/>
        <w:keepLines/>
        <w:adjustRightInd w:val="0"/>
        <w:snapToGrid w:val="0"/>
        <w:spacing w:before="340" w:after="330" w:line="312" w:lineRule="auto"/>
        <w:jc w:val="center"/>
        <w:outlineLvl w:val="0"/>
        <w:rPr>
          <w:rFonts w:ascii="宋体" w:hAnsi="宋体" w:cs="Times New Roman"/>
          <w:b/>
          <w:kern w:val="44"/>
          <w:sz w:val="72"/>
          <w:szCs w:val="72"/>
        </w:rPr>
      </w:pPr>
      <w:bookmarkStart w:id="0" w:name="_Toc241300356"/>
      <w:bookmarkStart w:id="1" w:name="_Toc288512089"/>
      <w:bookmarkStart w:id="2" w:name="_Toc238849300"/>
      <w:bookmarkStart w:id="3" w:name="_Toc238843760"/>
      <w:bookmarkStart w:id="4" w:name="_Toc238846764"/>
      <w:bookmarkStart w:id="5" w:name="_Toc332582624"/>
      <w:bookmarkStart w:id="6" w:name="_Toc238844310"/>
      <w:bookmarkStart w:id="7" w:name="_Toc417636811"/>
      <w:bookmarkStart w:id="8" w:name="_Toc238843163"/>
      <w:bookmarkStart w:id="9" w:name="_Toc238844166"/>
      <w:bookmarkStart w:id="10" w:name="_Toc351328866"/>
      <w:bookmarkStart w:id="11" w:name="_Toc383654303"/>
      <w:bookmarkStart w:id="12" w:name="_Toc247475125"/>
      <w:bookmarkStart w:id="13" w:name="_Toc331359540"/>
      <w:r>
        <w:rPr>
          <w:rFonts w:ascii="宋体" w:hAnsi="宋体" w:cs="Times New Roman" w:hint="eastAsia"/>
          <w:b/>
          <w:kern w:val="44"/>
          <w:sz w:val="72"/>
          <w:szCs w:val="72"/>
        </w:rPr>
        <w:t>专家工作手册</w:t>
      </w:r>
      <w:bookmarkEnd w:id="0"/>
      <w:bookmarkEnd w:id="1"/>
      <w:bookmarkEnd w:id="2"/>
      <w:bookmarkEnd w:id="3"/>
      <w:bookmarkEnd w:id="4"/>
      <w:bookmarkEnd w:id="5"/>
      <w:bookmarkEnd w:id="6"/>
      <w:bookmarkEnd w:id="7"/>
      <w:bookmarkEnd w:id="8"/>
      <w:bookmarkEnd w:id="9"/>
      <w:bookmarkEnd w:id="10"/>
      <w:bookmarkEnd w:id="11"/>
      <w:bookmarkEnd w:id="12"/>
      <w:bookmarkEnd w:id="13"/>
    </w:p>
    <w:p w:rsidR="009F249E" w:rsidRDefault="00651FE7">
      <w:pPr>
        <w:adjustRightInd w:val="0"/>
        <w:snapToGrid w:val="0"/>
        <w:spacing w:line="312" w:lineRule="auto"/>
        <w:jc w:val="center"/>
        <w:rPr>
          <w:rFonts w:ascii="仿宋" w:eastAsia="仿宋" w:hAnsi="仿宋" w:cs="Times New Roman"/>
          <w:sz w:val="30"/>
          <w:szCs w:val="30"/>
        </w:rPr>
      </w:pPr>
      <w:r>
        <w:rPr>
          <w:rFonts w:ascii="仿宋" w:eastAsia="仿宋" w:hAnsi="仿宋" w:cs="Times New Roman" w:hint="eastAsia"/>
          <w:sz w:val="30"/>
          <w:szCs w:val="30"/>
        </w:rPr>
        <w:t>（2</w:t>
      </w:r>
      <w:r>
        <w:rPr>
          <w:rFonts w:ascii="仿宋" w:eastAsia="仿宋" w:hAnsi="仿宋" w:cs="Times New Roman"/>
          <w:sz w:val="30"/>
          <w:szCs w:val="30"/>
        </w:rPr>
        <w:t>021</w:t>
      </w:r>
      <w:r>
        <w:rPr>
          <w:rFonts w:ascii="仿宋" w:eastAsia="仿宋" w:hAnsi="仿宋" w:cs="Times New Roman" w:hint="eastAsia"/>
          <w:sz w:val="30"/>
          <w:szCs w:val="30"/>
        </w:rPr>
        <w:t>年版）</w:t>
      </w:r>
    </w:p>
    <w:p w:rsidR="009F249E" w:rsidRDefault="009F249E">
      <w:pPr>
        <w:adjustRightInd w:val="0"/>
        <w:snapToGrid w:val="0"/>
        <w:spacing w:line="312" w:lineRule="auto"/>
        <w:jc w:val="center"/>
        <w:rPr>
          <w:rFonts w:ascii="宋体" w:hAnsi="宋体" w:cs="Times New Roman"/>
          <w:sz w:val="28"/>
          <w:szCs w:val="28"/>
        </w:rPr>
      </w:pPr>
    </w:p>
    <w:p w:rsidR="009F249E" w:rsidRDefault="009F249E">
      <w:pPr>
        <w:adjustRightInd w:val="0"/>
        <w:snapToGrid w:val="0"/>
        <w:spacing w:line="312" w:lineRule="auto"/>
        <w:ind w:leftChars="1285" w:left="2313"/>
        <w:rPr>
          <w:rFonts w:ascii="宋体" w:hAnsi="宋体" w:cs="Times New Roman"/>
          <w:b/>
          <w:sz w:val="36"/>
          <w:szCs w:val="36"/>
        </w:rPr>
      </w:pPr>
    </w:p>
    <w:p w:rsidR="009F249E" w:rsidRDefault="009F249E">
      <w:pPr>
        <w:adjustRightInd w:val="0"/>
        <w:snapToGrid w:val="0"/>
        <w:spacing w:line="312" w:lineRule="auto"/>
        <w:ind w:leftChars="1285" w:left="2313"/>
        <w:rPr>
          <w:rFonts w:ascii="宋体" w:hAnsi="宋体" w:cs="Times New Roman"/>
          <w:b/>
          <w:sz w:val="36"/>
          <w:szCs w:val="36"/>
        </w:rPr>
      </w:pPr>
    </w:p>
    <w:p w:rsidR="009F249E" w:rsidRDefault="009F249E">
      <w:pPr>
        <w:adjustRightInd w:val="0"/>
        <w:snapToGrid w:val="0"/>
        <w:spacing w:line="312" w:lineRule="auto"/>
        <w:ind w:leftChars="1285" w:left="2313"/>
        <w:rPr>
          <w:rFonts w:ascii="宋体" w:hAnsi="宋体" w:cs="Times New Roman"/>
          <w:b/>
          <w:sz w:val="36"/>
          <w:szCs w:val="36"/>
        </w:rPr>
      </w:pP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认证学校：</w:t>
      </w: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认证专业：</w:t>
      </w: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考查时间：</w:t>
      </w:r>
    </w:p>
    <w:p w:rsidR="009F249E" w:rsidRDefault="00651FE7">
      <w:pPr>
        <w:adjustRightInd w:val="0"/>
        <w:snapToGrid w:val="0"/>
        <w:spacing w:line="312" w:lineRule="auto"/>
        <w:ind w:leftChars="1028" w:left="1850"/>
        <w:rPr>
          <w:rFonts w:ascii="宋体" w:hAnsi="宋体" w:cs="Times New Roman"/>
          <w:b/>
          <w:sz w:val="36"/>
          <w:szCs w:val="36"/>
        </w:rPr>
      </w:pPr>
      <w:r>
        <w:rPr>
          <w:rFonts w:ascii="宋体" w:hAnsi="宋体" w:cs="Times New Roman" w:hint="eastAsia"/>
          <w:b/>
          <w:sz w:val="36"/>
          <w:szCs w:val="36"/>
        </w:rPr>
        <w:t>专家姓名（签字）：</w:t>
      </w:r>
    </w:p>
    <w:p w:rsidR="009F249E" w:rsidRDefault="009F249E">
      <w:pPr>
        <w:adjustRightInd w:val="0"/>
        <w:snapToGrid w:val="0"/>
        <w:spacing w:line="312" w:lineRule="auto"/>
        <w:jc w:val="center"/>
        <w:rPr>
          <w:rFonts w:ascii="宋体" w:hAnsi="宋体" w:cs="Times New Roman"/>
          <w:b/>
          <w:sz w:val="36"/>
          <w:szCs w:val="36"/>
        </w:rPr>
      </w:pPr>
    </w:p>
    <w:p w:rsidR="009F249E" w:rsidRDefault="009F249E">
      <w:pPr>
        <w:adjustRightInd w:val="0"/>
        <w:snapToGrid w:val="0"/>
        <w:spacing w:line="312" w:lineRule="auto"/>
        <w:jc w:val="center"/>
        <w:rPr>
          <w:rFonts w:ascii="宋体" w:hAnsi="宋体" w:cs="Times New Roman"/>
          <w:b/>
          <w:sz w:val="36"/>
          <w:szCs w:val="36"/>
        </w:rPr>
      </w:pPr>
    </w:p>
    <w:p w:rsidR="009F249E" w:rsidRDefault="00651FE7">
      <w:pPr>
        <w:adjustRightInd w:val="0"/>
        <w:snapToGrid w:val="0"/>
        <w:spacing w:line="312" w:lineRule="auto"/>
        <w:jc w:val="center"/>
        <w:rPr>
          <w:rFonts w:ascii="宋体" w:hAnsi="宋体" w:cs="Times New Roman"/>
          <w:b/>
          <w:sz w:val="36"/>
          <w:szCs w:val="36"/>
        </w:rPr>
      </w:pPr>
      <w:r>
        <w:rPr>
          <w:rFonts w:ascii="宋体" w:hAnsi="宋体" w:cs="Times New Roman" w:hint="eastAsia"/>
          <w:b/>
          <w:sz w:val="36"/>
          <w:szCs w:val="36"/>
        </w:rPr>
        <w:t>中国工程教育专业认证协会秘书处制</w:t>
      </w:r>
    </w:p>
    <w:p w:rsidR="009F249E" w:rsidRDefault="009F249E">
      <w:pPr>
        <w:adjustRightInd w:val="0"/>
        <w:snapToGrid w:val="0"/>
        <w:spacing w:line="312" w:lineRule="auto"/>
        <w:jc w:val="center"/>
        <w:rPr>
          <w:rFonts w:ascii="宋体" w:hAnsi="宋体" w:cs="Times New Roman"/>
          <w:b/>
          <w:sz w:val="36"/>
          <w:szCs w:val="36"/>
        </w:rPr>
      </w:pPr>
    </w:p>
    <w:p w:rsidR="009F249E" w:rsidRDefault="009F249E">
      <w:pPr>
        <w:adjustRightInd w:val="0"/>
        <w:snapToGrid w:val="0"/>
        <w:spacing w:line="312" w:lineRule="auto"/>
        <w:jc w:val="center"/>
        <w:rPr>
          <w:rFonts w:ascii="宋体" w:hAnsi="宋体" w:cs="宋体"/>
          <w:b/>
          <w:kern w:val="0"/>
          <w:sz w:val="36"/>
          <w:szCs w:val="36"/>
        </w:rPr>
      </w:pPr>
    </w:p>
    <w:p w:rsidR="009F249E" w:rsidRDefault="009F249E">
      <w:pPr>
        <w:adjustRightInd w:val="0"/>
        <w:snapToGrid w:val="0"/>
        <w:spacing w:line="312" w:lineRule="auto"/>
        <w:rPr>
          <w:rFonts w:ascii="宋体" w:hAnsi="宋体" w:cs="Times New Roman"/>
          <w:sz w:val="28"/>
          <w:szCs w:val="28"/>
        </w:rPr>
        <w:sectPr w:rsidR="009F249E">
          <w:footerReference w:type="even" r:id="rId10"/>
          <w:footerReference w:type="default" r:id="rId11"/>
          <w:pgSz w:w="11906" w:h="16838"/>
          <w:pgMar w:top="1701" w:right="1797" w:bottom="1440" w:left="1701" w:header="851" w:footer="992" w:gutter="0"/>
          <w:cols w:space="720"/>
          <w:docGrid w:type="lines" w:linePitch="312"/>
        </w:sectPr>
      </w:pPr>
    </w:p>
    <w:p w:rsidR="009F249E" w:rsidRDefault="00651FE7">
      <w:pPr>
        <w:tabs>
          <w:tab w:val="left" w:pos="1230"/>
          <w:tab w:val="right" w:leader="dot" w:pos="8296"/>
        </w:tabs>
        <w:adjustRightInd w:val="0"/>
        <w:snapToGrid w:val="0"/>
        <w:spacing w:line="312" w:lineRule="auto"/>
        <w:ind w:leftChars="200" w:left="360"/>
        <w:jc w:val="center"/>
        <w:rPr>
          <w:rFonts w:ascii="宋体" w:hAnsi="宋体" w:cs="Times New Roman"/>
          <w:b/>
          <w:sz w:val="28"/>
          <w:szCs w:val="28"/>
        </w:rPr>
      </w:pPr>
      <w:r>
        <w:rPr>
          <w:rFonts w:ascii="宋体" w:hAnsi="宋体" w:cs="Times New Roman" w:hint="eastAsia"/>
          <w:b/>
          <w:sz w:val="28"/>
          <w:szCs w:val="28"/>
        </w:rPr>
        <w:lastRenderedPageBreak/>
        <w:t>目录</w:t>
      </w:r>
    </w:p>
    <w:p w:rsidR="009F249E" w:rsidRDefault="009F249E">
      <w:pPr>
        <w:adjustRightInd w:val="0"/>
        <w:snapToGrid w:val="0"/>
        <w:spacing w:line="312" w:lineRule="auto"/>
        <w:rPr>
          <w:rFonts w:ascii="宋体" w:hAnsi="宋体" w:cs="Times New Roman"/>
          <w:b/>
          <w:sz w:val="28"/>
          <w:szCs w:val="28"/>
        </w:rPr>
      </w:pPr>
    </w:p>
    <w:p w:rsidR="009F249E" w:rsidRDefault="00651FE7">
      <w:pPr>
        <w:adjustRightInd w:val="0"/>
        <w:snapToGrid w:val="0"/>
        <w:spacing w:line="312" w:lineRule="auto"/>
        <w:ind w:firstLineChars="100" w:firstLine="281"/>
        <w:rPr>
          <w:rFonts w:ascii="宋体" w:hAnsi="宋体" w:cs="Times New Roman"/>
          <w:b/>
          <w:sz w:val="28"/>
          <w:szCs w:val="28"/>
        </w:rPr>
      </w:pPr>
      <w:r>
        <w:rPr>
          <w:rFonts w:ascii="宋体" w:hAnsi="宋体" w:cs="Times New Roman" w:hint="eastAsia"/>
          <w:b/>
          <w:sz w:val="28"/>
          <w:szCs w:val="28"/>
        </w:rPr>
        <w:t>表</w:t>
      </w:r>
      <w:r>
        <w:rPr>
          <w:rFonts w:ascii="宋体" w:hAnsi="宋体" w:cs="Times New Roman"/>
          <w:b/>
          <w:sz w:val="28"/>
          <w:szCs w:val="28"/>
        </w:rPr>
        <w:t>1：自评报告专家个人分析意见表</w:t>
      </w:r>
    </w:p>
    <w:p w:rsidR="009F249E" w:rsidRDefault="00651FE7">
      <w:pPr>
        <w:adjustRightInd w:val="0"/>
        <w:snapToGrid w:val="0"/>
        <w:spacing w:line="312" w:lineRule="auto"/>
        <w:ind w:rightChars="-156" w:right="-281" w:firstLineChars="100" w:firstLine="281"/>
        <w:rPr>
          <w:rFonts w:ascii="宋体" w:hAnsi="宋体" w:cs="Times New Roman"/>
          <w:b/>
          <w:sz w:val="28"/>
          <w:szCs w:val="28"/>
        </w:rPr>
      </w:pPr>
      <w:r>
        <w:rPr>
          <w:rFonts w:ascii="宋体" w:hAnsi="宋体" w:cs="Times New Roman" w:hint="eastAsia"/>
          <w:b/>
          <w:sz w:val="28"/>
          <w:szCs w:val="28"/>
        </w:rPr>
        <w:t>表2：工程教育认证现场考查情况记录表（参考）</w:t>
      </w:r>
    </w:p>
    <w:p w:rsidR="009F249E" w:rsidRDefault="00651FE7">
      <w:pPr>
        <w:adjustRightInd w:val="0"/>
        <w:snapToGrid w:val="0"/>
        <w:spacing w:line="312" w:lineRule="auto"/>
        <w:ind w:rightChars="-156" w:right="-281" w:firstLineChars="100" w:firstLine="281"/>
        <w:rPr>
          <w:rFonts w:ascii="宋体" w:hAnsi="宋体" w:cs="Times New Roman"/>
          <w:b/>
          <w:sz w:val="28"/>
          <w:szCs w:val="28"/>
        </w:rPr>
      </w:pPr>
      <w:r>
        <w:rPr>
          <w:rFonts w:ascii="宋体" w:hAnsi="宋体" w:cs="Times New Roman" w:hint="eastAsia"/>
          <w:b/>
          <w:sz w:val="28"/>
          <w:szCs w:val="28"/>
        </w:rPr>
        <w:t>表3：工程教育认证专家个人考查意见表</w:t>
      </w:r>
    </w:p>
    <w:p w:rsidR="0053653A" w:rsidRDefault="0053653A">
      <w:pPr>
        <w:tabs>
          <w:tab w:val="left" w:pos="0"/>
        </w:tabs>
        <w:adjustRightInd w:val="0"/>
        <w:snapToGrid w:val="0"/>
        <w:spacing w:line="312" w:lineRule="auto"/>
        <w:ind w:left="360"/>
        <w:rPr>
          <w:rFonts w:ascii="宋体" w:hAnsi="宋体" w:cs="Times New Roman"/>
          <w:b/>
          <w:sz w:val="28"/>
          <w:szCs w:val="28"/>
        </w:rPr>
      </w:pPr>
      <w:bookmarkStart w:id="14" w:name="_Toc241300357"/>
      <w:bookmarkStart w:id="15" w:name="_Toc238846765"/>
      <w:bookmarkStart w:id="16" w:name="_Toc247475126"/>
      <w:bookmarkStart w:id="17" w:name="_Toc288512090"/>
      <w:bookmarkStart w:id="18" w:name="_Toc280132386"/>
      <w:bookmarkStart w:id="19" w:name="_Toc238843164"/>
      <w:bookmarkStart w:id="20" w:name="_Toc238844167"/>
      <w:bookmarkStart w:id="21" w:name="_Toc238849301"/>
      <w:bookmarkStart w:id="22" w:name="_Toc331359541"/>
      <w:bookmarkStart w:id="23" w:name="_Toc351328867"/>
      <w:bookmarkStart w:id="24" w:name="_Toc332582625"/>
      <w:bookmarkStart w:id="25" w:name="_Toc238844311"/>
      <w:bookmarkStart w:id="26" w:name="_Toc238843761"/>
    </w:p>
    <w:p w:rsidR="009F249E" w:rsidRDefault="00651FE7">
      <w:pPr>
        <w:tabs>
          <w:tab w:val="left" w:pos="0"/>
        </w:tabs>
        <w:adjustRightInd w:val="0"/>
        <w:snapToGrid w:val="0"/>
        <w:spacing w:line="312" w:lineRule="auto"/>
        <w:ind w:left="360"/>
        <w:rPr>
          <w:rFonts w:ascii="宋体" w:hAnsi="宋体" w:cs="Times New Roman"/>
          <w:b/>
          <w:sz w:val="28"/>
          <w:szCs w:val="28"/>
        </w:rPr>
      </w:pPr>
      <w:r>
        <w:rPr>
          <w:rFonts w:ascii="宋体" w:hAnsi="宋体" w:cs="Times New Roman" w:hint="eastAsia"/>
          <w:b/>
          <w:sz w:val="28"/>
          <w:szCs w:val="28"/>
        </w:rPr>
        <w:t>使用说明</w:t>
      </w:r>
      <w:bookmarkEnd w:id="14"/>
      <w:bookmarkEnd w:id="15"/>
      <w:bookmarkEnd w:id="16"/>
      <w:bookmarkEnd w:id="17"/>
      <w:bookmarkEnd w:id="18"/>
      <w:bookmarkEnd w:id="19"/>
      <w:bookmarkEnd w:id="20"/>
      <w:bookmarkEnd w:id="21"/>
      <w:bookmarkEnd w:id="22"/>
      <w:bookmarkEnd w:id="23"/>
      <w:bookmarkEnd w:id="24"/>
      <w:bookmarkEnd w:id="25"/>
      <w:bookmarkEnd w:id="26"/>
      <w:r>
        <w:rPr>
          <w:rFonts w:ascii="宋体" w:hAnsi="宋体" w:cs="Times New Roman" w:hint="eastAsia"/>
          <w:b/>
          <w:sz w:val="28"/>
          <w:szCs w:val="28"/>
        </w:rPr>
        <w:t>：</w:t>
      </w:r>
    </w:p>
    <w:p w:rsidR="009F249E" w:rsidRDefault="00651FE7">
      <w:pPr>
        <w:numPr>
          <w:ilvl w:val="0"/>
          <w:numId w:val="3"/>
        </w:numPr>
        <w:tabs>
          <w:tab w:val="left" w:pos="0"/>
        </w:tabs>
        <w:adjustRightInd w:val="0"/>
        <w:snapToGrid w:val="0"/>
        <w:spacing w:beforeLines="50" w:before="156" w:line="312" w:lineRule="auto"/>
        <w:ind w:firstLine="357"/>
        <w:rPr>
          <w:rFonts w:ascii="宋体" w:hAnsi="宋体" w:cs="Times New Roman"/>
          <w:sz w:val="28"/>
          <w:szCs w:val="28"/>
        </w:rPr>
      </w:pPr>
      <w:r>
        <w:rPr>
          <w:rFonts w:ascii="宋体" w:hAnsi="宋体" w:cs="Times New Roman" w:hint="eastAsia"/>
          <w:sz w:val="28"/>
          <w:szCs w:val="28"/>
        </w:rPr>
        <w:t>本手册为现场考查专家个人考查的工作记录和结论反馈。</w:t>
      </w:r>
    </w:p>
    <w:p w:rsidR="009F249E" w:rsidRDefault="00651FE7">
      <w:pPr>
        <w:numPr>
          <w:ilvl w:val="0"/>
          <w:numId w:val="3"/>
        </w:numPr>
        <w:tabs>
          <w:tab w:val="left" w:pos="0"/>
        </w:tabs>
        <w:adjustRightInd w:val="0"/>
        <w:snapToGrid w:val="0"/>
        <w:spacing w:line="312" w:lineRule="auto"/>
        <w:ind w:firstLine="360"/>
        <w:rPr>
          <w:rFonts w:ascii="宋体" w:hAnsi="宋体" w:cs="Times New Roman"/>
          <w:sz w:val="28"/>
          <w:szCs w:val="28"/>
        </w:rPr>
      </w:pPr>
      <w:r>
        <w:rPr>
          <w:rFonts w:ascii="宋体" w:hAnsi="宋体" w:cs="Times New Roman" w:hint="eastAsia"/>
          <w:sz w:val="28"/>
          <w:szCs w:val="28"/>
        </w:rPr>
        <w:t>进校前：考查专家要认真研读和分析自评报告，填写“自评报告专家个人分析意见表”（表</w:t>
      </w:r>
      <w:r>
        <w:rPr>
          <w:rFonts w:ascii="宋体" w:hAnsi="宋体" w:cs="Times New Roman"/>
          <w:sz w:val="28"/>
          <w:szCs w:val="28"/>
        </w:rPr>
        <w:t>1），于进校前两周提交专家组秘书汇总，形成“专家组自评报告审阅意见汇总”，供制定“专家组现场考查重点”时使用。</w:t>
      </w:r>
    </w:p>
    <w:p w:rsidR="009F249E" w:rsidRDefault="00651FE7">
      <w:pPr>
        <w:numPr>
          <w:ilvl w:val="0"/>
          <w:numId w:val="3"/>
        </w:numPr>
        <w:tabs>
          <w:tab w:val="left" w:pos="0"/>
        </w:tabs>
        <w:adjustRightInd w:val="0"/>
        <w:snapToGrid w:val="0"/>
        <w:spacing w:line="312" w:lineRule="auto"/>
        <w:ind w:firstLine="360"/>
        <w:rPr>
          <w:rFonts w:ascii="宋体" w:hAnsi="宋体" w:cs="Times New Roman"/>
          <w:sz w:val="28"/>
          <w:szCs w:val="28"/>
        </w:rPr>
      </w:pPr>
      <w:r>
        <w:rPr>
          <w:rFonts w:ascii="宋体" w:hAnsi="宋体" w:cs="Times New Roman" w:hint="eastAsia"/>
          <w:sz w:val="28"/>
          <w:szCs w:val="28"/>
        </w:rPr>
        <w:t>现场考查期间：专家应根据本人“自评报告专家个人分析意见表”和专家组制定的“专家组现场考查重点”，按照分工开展考查工作，根据考查活动获取的信息和个人判断，填写“工程教育认证现场考查情况记录表（参考）</w:t>
      </w:r>
      <w:r>
        <w:rPr>
          <w:rFonts w:ascii="宋体" w:hAnsi="宋体" w:cs="Times New Roman"/>
          <w:sz w:val="28"/>
          <w:szCs w:val="28"/>
        </w:rPr>
        <w:t>”</w:t>
      </w:r>
      <w:r>
        <w:rPr>
          <w:rFonts w:ascii="宋体" w:hAnsi="宋体" w:cs="Times New Roman" w:hint="eastAsia"/>
          <w:sz w:val="28"/>
          <w:szCs w:val="28"/>
        </w:rPr>
        <w:t>（表</w:t>
      </w:r>
      <w:r>
        <w:rPr>
          <w:rFonts w:ascii="宋体" w:hAnsi="宋体" w:cs="Times New Roman"/>
          <w:sz w:val="28"/>
          <w:szCs w:val="28"/>
        </w:rPr>
        <w:t>2）</w:t>
      </w:r>
      <w:r>
        <w:rPr>
          <w:rFonts w:ascii="宋体" w:hAnsi="宋体" w:cs="Times New Roman" w:hint="eastAsia"/>
          <w:sz w:val="28"/>
          <w:szCs w:val="28"/>
        </w:rPr>
        <w:t>。</w:t>
      </w:r>
    </w:p>
    <w:p w:rsidR="009F249E" w:rsidRDefault="00651FE7">
      <w:pPr>
        <w:numPr>
          <w:ilvl w:val="0"/>
          <w:numId w:val="3"/>
        </w:numPr>
        <w:tabs>
          <w:tab w:val="left" w:pos="0"/>
        </w:tabs>
        <w:adjustRightInd w:val="0"/>
        <w:snapToGrid w:val="0"/>
        <w:spacing w:line="312" w:lineRule="auto"/>
        <w:ind w:firstLine="360"/>
        <w:rPr>
          <w:rFonts w:ascii="宋体" w:hAnsi="宋体" w:cs="Times New Roman"/>
          <w:sz w:val="28"/>
          <w:szCs w:val="28"/>
        </w:rPr>
      </w:pPr>
      <w:r>
        <w:rPr>
          <w:rFonts w:ascii="宋体" w:hAnsi="宋体" w:cs="Times New Roman" w:hint="eastAsia"/>
          <w:sz w:val="28"/>
          <w:szCs w:val="28"/>
        </w:rPr>
        <w:t>专家组在讨论结论的内部会议之前：专家应填写完成“工程教育认证专家个人考查意见表”（表</w:t>
      </w:r>
      <w:r>
        <w:rPr>
          <w:rFonts w:ascii="宋体" w:hAnsi="宋体" w:cs="Times New Roman"/>
          <w:sz w:val="28"/>
          <w:szCs w:val="28"/>
        </w:rPr>
        <w:t>3</w:t>
      </w:r>
      <w:r>
        <w:rPr>
          <w:rFonts w:ascii="宋体" w:hAnsi="宋体" w:cs="Times New Roman" w:hint="eastAsia"/>
          <w:sz w:val="28"/>
          <w:szCs w:val="28"/>
        </w:rPr>
        <w:t>），作为专家个人的正式考查意见，会议之前交秘书汇总，供专家组集体讨论使用。</w:t>
      </w:r>
    </w:p>
    <w:p w:rsidR="009F249E" w:rsidRDefault="00651FE7">
      <w:pPr>
        <w:numPr>
          <w:ilvl w:val="0"/>
          <w:numId w:val="3"/>
        </w:numPr>
        <w:tabs>
          <w:tab w:val="left" w:pos="0"/>
        </w:tabs>
        <w:adjustRightInd w:val="0"/>
        <w:snapToGrid w:val="0"/>
        <w:spacing w:line="312" w:lineRule="auto"/>
        <w:ind w:firstLine="360"/>
        <w:rPr>
          <w:rFonts w:ascii="仿宋_GB2312" w:eastAsia="仿宋_GB2312" w:cs="Times New Roman"/>
          <w:sz w:val="28"/>
          <w:szCs w:val="28"/>
        </w:rPr>
      </w:pPr>
      <w:r>
        <w:rPr>
          <w:rFonts w:ascii="宋体" w:hAnsi="宋体" w:cs="Times New Roman" w:hint="eastAsia"/>
          <w:sz w:val="28"/>
          <w:szCs w:val="28"/>
        </w:rPr>
        <w:t>现场考查结束后：上述材料由秘书汇总，交认证协会秘书处和专业类认证委员会存档。对外保密。</w:t>
      </w:r>
    </w:p>
    <w:p w:rsidR="009F249E" w:rsidRDefault="00651FE7">
      <w:pPr>
        <w:tabs>
          <w:tab w:val="left" w:pos="0"/>
        </w:tabs>
        <w:spacing w:line="420" w:lineRule="exact"/>
        <w:rPr>
          <w:rFonts w:ascii="黑体" w:eastAsia="黑体" w:cs="Times New Roman"/>
          <w:b/>
          <w:sz w:val="32"/>
          <w:szCs w:val="32"/>
        </w:rPr>
      </w:pPr>
      <w:bookmarkStart w:id="27" w:name="_Toc247475127"/>
      <w:bookmarkStart w:id="28" w:name="_Toc241300358"/>
      <w:bookmarkStart w:id="29" w:name="_Toc280132387"/>
      <w:bookmarkStart w:id="30" w:name="_Toc238844312"/>
      <w:bookmarkStart w:id="31" w:name="_Toc238846766"/>
      <w:bookmarkStart w:id="32" w:name="_Toc238844168"/>
      <w:bookmarkStart w:id="33" w:name="_Toc288512091"/>
      <w:bookmarkStart w:id="34" w:name="_Toc280131690"/>
      <w:bookmarkStart w:id="35" w:name="_Toc238843762"/>
      <w:bookmarkStart w:id="36" w:name="_Toc238843165"/>
      <w:bookmarkStart w:id="37" w:name="_Toc238849302"/>
      <w:r>
        <w:rPr>
          <w:rFonts w:ascii="黑体" w:eastAsia="黑体" w:cs="Times New Roman"/>
          <w:b/>
          <w:sz w:val="32"/>
          <w:szCs w:val="32"/>
        </w:rPr>
        <w:br w:type="page"/>
      </w:r>
      <w:r>
        <w:rPr>
          <w:rFonts w:ascii="黑体" w:eastAsia="黑体" w:cs="Times New Roman" w:hint="eastAsia"/>
          <w:b/>
          <w:sz w:val="32"/>
          <w:szCs w:val="32"/>
        </w:rPr>
        <w:t>表1自评报告专家个人分析意见</w:t>
      </w:r>
      <w:bookmarkEnd w:id="27"/>
      <w:bookmarkEnd w:id="28"/>
      <w:bookmarkEnd w:id="29"/>
      <w:bookmarkEnd w:id="30"/>
      <w:bookmarkEnd w:id="31"/>
      <w:bookmarkEnd w:id="32"/>
      <w:bookmarkEnd w:id="33"/>
      <w:bookmarkEnd w:id="34"/>
      <w:bookmarkEnd w:id="35"/>
      <w:bookmarkEnd w:id="36"/>
      <w:bookmarkEnd w:id="37"/>
      <w:r>
        <w:rPr>
          <w:rFonts w:ascii="黑体" w:eastAsia="黑体" w:cs="Times New Roman" w:hint="eastAsia"/>
          <w:b/>
          <w:sz w:val="32"/>
          <w:szCs w:val="32"/>
        </w:rPr>
        <w:t>表</w:t>
      </w:r>
    </w:p>
    <w:p w:rsidR="009F249E" w:rsidRDefault="009F249E">
      <w:pPr>
        <w:ind w:firstLineChars="200" w:firstLine="480"/>
        <w:rPr>
          <w:rFonts w:ascii="宋体" w:hAnsi="宋体" w:cs="Times New Roman"/>
          <w:sz w:val="24"/>
          <w:szCs w:val="24"/>
        </w:rPr>
      </w:pP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填表说明：</w:t>
      </w:r>
    </w:p>
    <w:p w:rsidR="009F249E" w:rsidRDefault="00651FE7">
      <w:pPr>
        <w:ind w:firstLineChars="200" w:firstLine="480"/>
        <w:rPr>
          <w:rFonts w:ascii="宋体" w:hAnsi="宋体" w:cs="Times New Roman"/>
          <w:sz w:val="24"/>
          <w:szCs w:val="24"/>
        </w:rPr>
      </w:pPr>
      <w:r>
        <w:rPr>
          <w:rFonts w:ascii="宋体" w:hAnsi="宋体" w:cs="Times New Roman"/>
          <w:sz w:val="24"/>
          <w:szCs w:val="24"/>
        </w:rPr>
        <w:t xml:space="preserve">1. </w:t>
      </w:r>
      <w:r>
        <w:rPr>
          <w:rFonts w:ascii="宋体" w:hAnsi="宋体" w:cs="Times New Roman" w:hint="eastAsia"/>
          <w:sz w:val="24"/>
          <w:szCs w:val="24"/>
        </w:rPr>
        <w:t>本表在现场考查前由专家根据自评报告审核结果进行填写，作为形成《专家组现场考查重点》的依据；</w:t>
      </w:r>
    </w:p>
    <w:p w:rsidR="009F249E" w:rsidRDefault="00651FE7">
      <w:pPr>
        <w:ind w:firstLineChars="200" w:firstLine="480"/>
        <w:rPr>
          <w:rFonts w:ascii="宋体" w:hAnsi="宋体" w:cs="Times New Roman"/>
          <w:sz w:val="24"/>
          <w:szCs w:val="24"/>
        </w:rPr>
      </w:pPr>
      <w:r>
        <w:rPr>
          <w:rFonts w:ascii="宋体" w:hAnsi="宋体" w:cs="Times New Roman"/>
          <w:sz w:val="24"/>
          <w:szCs w:val="24"/>
        </w:rPr>
        <w:t xml:space="preserve">2. </w:t>
      </w:r>
      <w:r>
        <w:rPr>
          <w:rFonts w:ascii="宋体" w:hAnsi="宋体" w:cs="Times New Roman" w:hint="eastAsia"/>
          <w:sz w:val="24"/>
          <w:szCs w:val="24"/>
        </w:rPr>
        <w:t>专家应严格对照认证标准审阅自评报告，提出需要专业补充说明的内容，以及审核发现的问题；</w:t>
      </w:r>
    </w:p>
    <w:p w:rsidR="009F249E" w:rsidRDefault="00651FE7">
      <w:pPr>
        <w:spacing w:after="100" w:afterAutospacing="1"/>
        <w:ind w:firstLineChars="200" w:firstLine="480"/>
        <w:rPr>
          <w:rFonts w:ascii="黑体" w:eastAsia="黑体" w:cs="Times New Roman"/>
          <w:b/>
          <w:sz w:val="32"/>
          <w:szCs w:val="32"/>
        </w:rPr>
      </w:pPr>
      <w:r>
        <w:rPr>
          <w:rFonts w:ascii="宋体" w:hAnsi="宋体" w:cs="Times New Roman"/>
          <w:sz w:val="24"/>
          <w:szCs w:val="24"/>
        </w:rPr>
        <w:t xml:space="preserve">3. </w:t>
      </w:r>
      <w:r>
        <w:rPr>
          <w:rFonts w:ascii="宋体" w:hAnsi="宋体" w:cs="Times New Roman" w:hint="eastAsia"/>
          <w:sz w:val="24"/>
          <w:szCs w:val="24"/>
        </w:rPr>
        <w:t>专家应针对自评报告的审核结果，提出</w:t>
      </w:r>
      <w:proofErr w:type="gramStart"/>
      <w:r>
        <w:rPr>
          <w:rFonts w:ascii="宋体" w:hAnsi="宋体" w:cs="Times New Roman" w:hint="eastAsia"/>
          <w:sz w:val="24"/>
          <w:szCs w:val="24"/>
        </w:rPr>
        <w:t>拟深入</w:t>
      </w:r>
      <w:proofErr w:type="gramEnd"/>
      <w:r>
        <w:rPr>
          <w:rFonts w:ascii="宋体" w:hAnsi="宋体" w:cs="Times New Roman" w:hint="eastAsia"/>
          <w:sz w:val="24"/>
          <w:szCs w:val="24"/>
        </w:rPr>
        <w:t>核查的问题及考查方式。</w:t>
      </w:r>
    </w:p>
    <w:tbl>
      <w:tblPr>
        <w:tblW w:w="9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4055"/>
        <w:gridCol w:w="2835"/>
        <w:gridCol w:w="959"/>
      </w:tblGrid>
      <w:tr w:rsidR="009F249E">
        <w:trPr>
          <w:trHeight w:val="831"/>
          <w:jc w:val="center"/>
        </w:trPr>
        <w:tc>
          <w:tcPr>
            <w:tcW w:w="1298"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指标</w:t>
            </w:r>
          </w:p>
        </w:tc>
        <w:tc>
          <w:tcPr>
            <w:tcW w:w="4055"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自评报告中未充分说明的内容，以及针对认证标准发现的问题和关注项</w:t>
            </w:r>
          </w:p>
        </w:tc>
        <w:tc>
          <w:tcPr>
            <w:tcW w:w="2835" w:type="dxa"/>
            <w:vAlign w:val="center"/>
          </w:tcPr>
          <w:p w:rsidR="009F249E" w:rsidRDefault="00651FE7">
            <w:pPr>
              <w:spacing w:line="340" w:lineRule="exact"/>
              <w:jc w:val="center"/>
              <w:rPr>
                <w:rFonts w:cs="Times New Roman"/>
                <w:b/>
                <w:sz w:val="24"/>
                <w:szCs w:val="24"/>
              </w:rPr>
            </w:pPr>
            <w:proofErr w:type="gramStart"/>
            <w:r>
              <w:rPr>
                <w:rFonts w:cs="Times New Roman" w:hint="eastAsia"/>
                <w:b/>
                <w:sz w:val="24"/>
                <w:szCs w:val="24"/>
              </w:rPr>
              <w:t>拟深入</w:t>
            </w:r>
            <w:proofErr w:type="gramEnd"/>
            <w:r>
              <w:rPr>
                <w:rFonts w:cs="Times New Roman" w:hint="eastAsia"/>
                <w:b/>
                <w:sz w:val="24"/>
                <w:szCs w:val="24"/>
              </w:rPr>
              <w:t>了解或核查的问题及拟采取的考查方式</w:t>
            </w:r>
          </w:p>
        </w:tc>
        <w:tc>
          <w:tcPr>
            <w:tcW w:w="959" w:type="dxa"/>
            <w:vAlign w:val="center"/>
          </w:tcPr>
          <w:p w:rsidR="009F249E" w:rsidRDefault="00651FE7">
            <w:pPr>
              <w:spacing w:line="340" w:lineRule="exact"/>
              <w:jc w:val="center"/>
              <w:rPr>
                <w:rFonts w:cs="Times New Roman"/>
                <w:b/>
                <w:sz w:val="24"/>
                <w:szCs w:val="24"/>
              </w:rPr>
            </w:pPr>
            <w:r>
              <w:rPr>
                <w:rFonts w:cs="Times New Roman" w:hint="eastAsia"/>
                <w:b/>
                <w:sz w:val="24"/>
                <w:szCs w:val="24"/>
              </w:rPr>
              <w:t>备注</w:t>
            </w:r>
          </w:p>
        </w:tc>
      </w:tr>
      <w:tr w:rsidR="009F249E">
        <w:trPr>
          <w:trHeight w:val="936"/>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学生</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93"/>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培养目标</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80"/>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毕业要求</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78"/>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持续改进</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991"/>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课程体系</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119"/>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师资队伍</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121"/>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支持条件</w:t>
            </w: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r w:rsidR="009F249E">
        <w:trPr>
          <w:trHeight w:val="1350"/>
          <w:jc w:val="center"/>
        </w:trPr>
        <w:tc>
          <w:tcPr>
            <w:tcW w:w="1298" w:type="dxa"/>
            <w:vAlign w:val="center"/>
          </w:tcPr>
          <w:p w:rsidR="009F249E" w:rsidRDefault="00651FE7">
            <w:pPr>
              <w:jc w:val="center"/>
              <w:rPr>
                <w:rFonts w:cs="Times New Roman"/>
                <w:b/>
                <w:sz w:val="24"/>
                <w:szCs w:val="24"/>
              </w:rPr>
            </w:pPr>
            <w:r>
              <w:rPr>
                <w:rFonts w:cs="Times New Roman" w:hint="eastAsia"/>
                <w:b/>
                <w:sz w:val="24"/>
                <w:szCs w:val="24"/>
              </w:rPr>
              <w:t>其他</w:t>
            </w:r>
          </w:p>
          <w:p w:rsidR="009F249E" w:rsidRDefault="009F249E">
            <w:pPr>
              <w:jc w:val="center"/>
              <w:rPr>
                <w:rFonts w:cs="Times New Roman"/>
                <w:b/>
                <w:sz w:val="24"/>
                <w:szCs w:val="24"/>
              </w:rPr>
            </w:pPr>
          </w:p>
        </w:tc>
        <w:tc>
          <w:tcPr>
            <w:tcW w:w="4055" w:type="dxa"/>
            <w:vAlign w:val="center"/>
          </w:tcPr>
          <w:p w:rsidR="009F249E" w:rsidRDefault="009F249E">
            <w:pPr>
              <w:jc w:val="center"/>
              <w:rPr>
                <w:rFonts w:cs="Times New Roman"/>
                <w:sz w:val="21"/>
                <w:szCs w:val="20"/>
              </w:rPr>
            </w:pPr>
          </w:p>
        </w:tc>
        <w:tc>
          <w:tcPr>
            <w:tcW w:w="2835" w:type="dxa"/>
            <w:vAlign w:val="center"/>
          </w:tcPr>
          <w:p w:rsidR="009F249E" w:rsidRDefault="009F249E">
            <w:pPr>
              <w:jc w:val="center"/>
              <w:rPr>
                <w:rFonts w:cs="Times New Roman"/>
                <w:sz w:val="21"/>
                <w:szCs w:val="20"/>
              </w:rPr>
            </w:pPr>
          </w:p>
        </w:tc>
        <w:tc>
          <w:tcPr>
            <w:tcW w:w="959" w:type="dxa"/>
            <w:vAlign w:val="center"/>
          </w:tcPr>
          <w:p w:rsidR="009F249E" w:rsidRDefault="009F249E">
            <w:pPr>
              <w:jc w:val="center"/>
              <w:rPr>
                <w:rFonts w:cs="Times New Roman"/>
                <w:sz w:val="21"/>
                <w:szCs w:val="20"/>
              </w:rPr>
            </w:pPr>
          </w:p>
        </w:tc>
      </w:tr>
    </w:tbl>
    <w:p w:rsidR="009F249E" w:rsidRDefault="009F249E">
      <w:pPr>
        <w:rPr>
          <w:rFonts w:cs="Times New Roman"/>
          <w:sz w:val="21"/>
          <w:szCs w:val="20"/>
          <w:lang w:val="en-AU"/>
        </w:rPr>
      </w:pPr>
      <w:bookmarkStart w:id="38" w:name="_Toc417636812"/>
      <w:bookmarkStart w:id="39" w:name="_Toc383654304"/>
    </w:p>
    <w:p w:rsidR="009F249E" w:rsidRDefault="009F249E">
      <w:pPr>
        <w:rPr>
          <w:rFonts w:cs="Times New Roman"/>
          <w:sz w:val="21"/>
          <w:szCs w:val="20"/>
          <w:lang w:val="en-AU"/>
        </w:rPr>
      </w:pPr>
    </w:p>
    <w:p w:rsidR="009F249E" w:rsidRDefault="009F249E">
      <w:pPr>
        <w:rPr>
          <w:rFonts w:cs="Times New Roman"/>
          <w:sz w:val="21"/>
          <w:szCs w:val="20"/>
          <w:lang w:val="en-AU"/>
        </w:rPr>
      </w:pPr>
    </w:p>
    <w:p w:rsidR="009F249E" w:rsidRDefault="009F249E">
      <w:pPr>
        <w:rPr>
          <w:rFonts w:cs="Times New Roman"/>
          <w:sz w:val="21"/>
          <w:szCs w:val="20"/>
          <w:lang w:val="en-AU"/>
        </w:rPr>
      </w:pPr>
    </w:p>
    <w:p w:rsidR="009F249E" w:rsidRDefault="009F249E">
      <w:pPr>
        <w:rPr>
          <w:rFonts w:cs="Times New Roman"/>
          <w:sz w:val="21"/>
          <w:szCs w:val="20"/>
          <w:lang w:val="en-AU"/>
        </w:rPr>
      </w:pPr>
    </w:p>
    <w:p w:rsidR="009F249E" w:rsidRDefault="00651FE7">
      <w:pPr>
        <w:rPr>
          <w:rFonts w:ascii="黑体" w:eastAsia="黑体" w:cs="Times New Roman"/>
          <w:b/>
          <w:sz w:val="32"/>
          <w:szCs w:val="32"/>
        </w:rPr>
      </w:pPr>
      <w:bookmarkStart w:id="40" w:name="_Toc280131691"/>
      <w:bookmarkStart w:id="41" w:name="_Toc238849303"/>
      <w:bookmarkStart w:id="42" w:name="_Toc238846767"/>
      <w:bookmarkStart w:id="43" w:name="_Toc238844169"/>
      <w:bookmarkStart w:id="44" w:name="_Toc238843166"/>
      <w:bookmarkStart w:id="45" w:name="_Toc288512092"/>
      <w:bookmarkStart w:id="46" w:name="_Toc241300359"/>
      <w:bookmarkStart w:id="47" w:name="_Toc247475128"/>
      <w:bookmarkStart w:id="48" w:name="_Toc238843763"/>
      <w:bookmarkStart w:id="49" w:name="_Toc280132388"/>
      <w:bookmarkStart w:id="50" w:name="_Toc238844313"/>
      <w:r>
        <w:rPr>
          <w:rFonts w:ascii="黑体" w:eastAsia="黑体" w:cs="Times New Roman" w:hint="eastAsia"/>
          <w:b/>
          <w:sz w:val="32"/>
          <w:szCs w:val="32"/>
        </w:rPr>
        <w:t>表2工程教育认证现场考查</w:t>
      </w:r>
      <w:bookmarkEnd w:id="40"/>
      <w:bookmarkEnd w:id="41"/>
      <w:bookmarkEnd w:id="42"/>
      <w:bookmarkEnd w:id="43"/>
      <w:bookmarkEnd w:id="44"/>
      <w:bookmarkEnd w:id="45"/>
      <w:bookmarkEnd w:id="46"/>
      <w:bookmarkEnd w:id="47"/>
      <w:bookmarkEnd w:id="48"/>
      <w:bookmarkEnd w:id="49"/>
      <w:bookmarkEnd w:id="50"/>
      <w:r>
        <w:rPr>
          <w:rFonts w:ascii="黑体" w:eastAsia="黑体" w:cs="Times New Roman" w:hint="eastAsia"/>
          <w:b/>
          <w:sz w:val="32"/>
          <w:szCs w:val="32"/>
        </w:rPr>
        <w:t>情况记录表（参考）</w:t>
      </w:r>
    </w:p>
    <w:p w:rsidR="009F249E" w:rsidRDefault="009F249E">
      <w:pPr>
        <w:ind w:firstLineChars="200" w:firstLine="480"/>
        <w:rPr>
          <w:rFonts w:ascii="宋体" w:hAnsi="宋体" w:cs="Times New Roman"/>
          <w:sz w:val="24"/>
          <w:szCs w:val="24"/>
        </w:rPr>
      </w:pP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填表说明：</w:t>
      </w: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1.本表作为专家在开展不同考查活动时的记录表，记录核实的问题和核实结果，作为《专家个人考查意见表》的依据；</w:t>
      </w:r>
    </w:p>
    <w:p w:rsidR="009F249E" w:rsidRDefault="00651FE7">
      <w:pPr>
        <w:ind w:firstLineChars="200" w:firstLine="480"/>
        <w:rPr>
          <w:rFonts w:ascii="宋体" w:hAnsi="宋体" w:cs="Times New Roman"/>
          <w:sz w:val="24"/>
          <w:szCs w:val="24"/>
        </w:rPr>
      </w:pPr>
      <w:r>
        <w:rPr>
          <w:rFonts w:ascii="宋体" w:hAnsi="宋体" w:cs="Times New Roman" w:hint="eastAsia"/>
          <w:sz w:val="24"/>
          <w:szCs w:val="24"/>
        </w:rPr>
        <w:t>2.记录内容为《专家个人分析意见表》《个人分析意见表汇总表》《考查要重点》中个人实际考查中重点核实的问题，无需覆盖上表中所有拟核</w:t>
      </w:r>
      <w:proofErr w:type="gramStart"/>
      <w:r>
        <w:rPr>
          <w:rFonts w:ascii="宋体" w:hAnsi="宋体" w:cs="Times New Roman" w:hint="eastAsia"/>
          <w:sz w:val="24"/>
          <w:szCs w:val="24"/>
        </w:rPr>
        <w:t>实问题</w:t>
      </w:r>
      <w:proofErr w:type="gramEnd"/>
      <w:r>
        <w:rPr>
          <w:rFonts w:ascii="宋体" w:hAnsi="宋体" w:cs="Times New Roman" w:hint="eastAsia"/>
          <w:sz w:val="24"/>
          <w:szCs w:val="24"/>
        </w:rPr>
        <w:t>和关注项。</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tblGrid>
      <w:tr w:rsidR="009F249E">
        <w:tc>
          <w:tcPr>
            <w:tcW w:w="8460" w:type="dxa"/>
            <w:vAlign w:val="center"/>
          </w:tcPr>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拟核实的问题</w:t>
            </w:r>
            <w:r>
              <w:rPr>
                <w:rFonts w:cs="Times New Roman" w:hint="eastAsia"/>
                <w:sz w:val="24"/>
                <w:szCs w:val="24"/>
              </w:rPr>
              <w:t>1</w:t>
            </w:r>
            <w:r>
              <w:rPr>
                <w:rFonts w:cs="Times New Roman" w:hint="eastAsia"/>
                <w:sz w:val="24"/>
                <w:szCs w:val="24"/>
              </w:rPr>
              <w:t>：</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考查时间和活动：</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核实结果：</w:t>
            </w: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拟核实的问题</w:t>
            </w:r>
            <w:r>
              <w:rPr>
                <w:rFonts w:cs="Times New Roman" w:hint="eastAsia"/>
                <w:sz w:val="24"/>
                <w:szCs w:val="24"/>
              </w:rPr>
              <w:t>2</w:t>
            </w:r>
            <w:r>
              <w:rPr>
                <w:rFonts w:cs="Times New Roman" w:hint="eastAsia"/>
                <w:sz w:val="24"/>
                <w:szCs w:val="24"/>
              </w:rPr>
              <w:t>：</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考查时间和活动：</w:t>
            </w: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核实结果：</w:t>
            </w: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651FE7">
            <w:pPr>
              <w:rPr>
                <w:rFonts w:cs="Times New Roman"/>
                <w:sz w:val="24"/>
                <w:szCs w:val="24"/>
              </w:rPr>
            </w:pPr>
            <w:r>
              <w:rPr>
                <w:rFonts w:cs="Times New Roman" w:hint="eastAsia"/>
                <w:sz w:val="24"/>
                <w:szCs w:val="24"/>
              </w:rPr>
              <w:t>其他考查时间和活动：</w:t>
            </w: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p w:rsidR="009F249E" w:rsidRDefault="009F249E">
            <w:pPr>
              <w:rPr>
                <w:rFonts w:cs="Times New Roman"/>
                <w:sz w:val="24"/>
                <w:szCs w:val="24"/>
              </w:rPr>
            </w:pPr>
          </w:p>
        </w:tc>
      </w:tr>
    </w:tbl>
    <w:p w:rsidR="009F249E" w:rsidRDefault="009F249E">
      <w:pPr>
        <w:rPr>
          <w:rFonts w:cs="Times New Roman"/>
          <w:sz w:val="21"/>
          <w:szCs w:val="20"/>
          <w:lang w:val="en-AU"/>
        </w:rPr>
      </w:pPr>
    </w:p>
    <w:p w:rsidR="009F249E" w:rsidRDefault="009F249E">
      <w:pPr>
        <w:rPr>
          <w:rFonts w:cs="Times New Roman"/>
          <w:sz w:val="21"/>
          <w:szCs w:val="20"/>
          <w:lang w:val="en-AU"/>
        </w:rPr>
        <w:sectPr w:rsidR="009F249E">
          <w:footerReference w:type="even" r:id="rId12"/>
          <w:footerReference w:type="default" r:id="rId13"/>
          <w:pgSz w:w="11906" w:h="16838"/>
          <w:pgMar w:top="1440" w:right="1800" w:bottom="1440" w:left="1800" w:header="851" w:footer="992" w:gutter="0"/>
          <w:cols w:space="425"/>
          <w:docGrid w:type="lines" w:linePitch="312"/>
        </w:sectPr>
      </w:pPr>
    </w:p>
    <w:p w:rsidR="009F249E" w:rsidRDefault="00651FE7">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outlineLvl w:val="1"/>
        <w:rPr>
          <w:rFonts w:ascii="宋体" w:hAnsi="宋体" w:cs="Times New Roman"/>
          <w:sz w:val="24"/>
          <w:szCs w:val="24"/>
        </w:rPr>
      </w:pPr>
      <w:r>
        <w:rPr>
          <w:rFonts w:ascii="黑体" w:eastAsia="黑体" w:cs="Times New Roman" w:hint="eastAsia"/>
          <w:b/>
          <w:kern w:val="18"/>
          <w:sz w:val="32"/>
          <w:szCs w:val="32"/>
          <w:lang w:val="en-AU"/>
        </w:rPr>
        <w:t xml:space="preserve">表3  </w:t>
      </w:r>
      <w:bookmarkStart w:id="51" w:name="OLE_LINK12"/>
      <w:bookmarkStart w:id="52" w:name="OLE_LINK11"/>
      <w:r>
        <w:rPr>
          <w:rFonts w:ascii="黑体" w:eastAsia="黑体" w:cs="Times New Roman" w:hint="eastAsia"/>
          <w:b/>
          <w:kern w:val="18"/>
          <w:sz w:val="32"/>
          <w:szCs w:val="32"/>
          <w:lang w:val="en-AU"/>
        </w:rPr>
        <w:t>工程教育认证</w:t>
      </w:r>
      <w:bookmarkStart w:id="53" w:name="_Toc247475139"/>
      <w:bookmarkStart w:id="54" w:name="_Toc238844324"/>
      <w:bookmarkStart w:id="55" w:name="_Toc238844180"/>
      <w:bookmarkStart w:id="56" w:name="_Toc241300370"/>
      <w:bookmarkStart w:id="57" w:name="_Toc280132399"/>
      <w:bookmarkStart w:id="58" w:name="_Toc238846778"/>
      <w:bookmarkStart w:id="59" w:name="_Toc238843177"/>
      <w:bookmarkStart w:id="60" w:name="_Toc288512103"/>
      <w:bookmarkStart w:id="61" w:name="_Toc238843774"/>
      <w:bookmarkStart w:id="62" w:name="_Toc238849314"/>
      <w:r>
        <w:rPr>
          <w:rFonts w:ascii="黑体" w:eastAsia="黑体" w:cs="Times New Roman" w:hint="eastAsia"/>
          <w:b/>
          <w:kern w:val="18"/>
          <w:sz w:val="32"/>
          <w:szCs w:val="32"/>
          <w:lang w:val="en-AU"/>
        </w:rPr>
        <w:t>专家个人</w:t>
      </w:r>
      <w:bookmarkEnd w:id="38"/>
      <w:bookmarkEnd w:id="39"/>
      <w:bookmarkEnd w:id="51"/>
      <w:bookmarkEnd w:id="52"/>
      <w:bookmarkEnd w:id="53"/>
      <w:bookmarkEnd w:id="54"/>
      <w:bookmarkEnd w:id="55"/>
      <w:bookmarkEnd w:id="56"/>
      <w:bookmarkEnd w:id="57"/>
      <w:bookmarkEnd w:id="58"/>
      <w:bookmarkEnd w:id="59"/>
      <w:bookmarkEnd w:id="60"/>
      <w:bookmarkEnd w:id="61"/>
      <w:bookmarkEnd w:id="62"/>
      <w:r>
        <w:rPr>
          <w:rFonts w:ascii="黑体" w:eastAsia="黑体" w:cs="Times New Roman" w:hint="eastAsia"/>
          <w:b/>
          <w:kern w:val="18"/>
          <w:sz w:val="32"/>
          <w:szCs w:val="32"/>
          <w:lang w:val="en-AU"/>
        </w:rPr>
        <w:t>考查意见表</w:t>
      </w:r>
    </w:p>
    <w:p w:rsidR="009F249E" w:rsidRDefault="00651FE7">
      <w:pPr>
        <w:rPr>
          <w:rFonts w:ascii="宋体" w:hAnsi="宋体" w:cs="Times New Roman"/>
          <w:sz w:val="24"/>
          <w:szCs w:val="24"/>
        </w:rPr>
      </w:pPr>
      <w:r>
        <w:rPr>
          <w:rFonts w:ascii="宋体" w:hAnsi="宋体" w:cs="Times New Roman" w:hint="eastAsia"/>
          <w:sz w:val="24"/>
          <w:szCs w:val="24"/>
        </w:rPr>
        <w:t>填表说明：</w:t>
      </w:r>
    </w:p>
    <w:p w:rsidR="009F249E" w:rsidRDefault="00651FE7">
      <w:pPr>
        <w:ind w:left="2" w:firstLineChars="200" w:firstLine="480"/>
        <w:rPr>
          <w:rFonts w:ascii="宋体" w:hAnsi="宋体" w:cs="Times New Roman"/>
          <w:sz w:val="24"/>
          <w:szCs w:val="24"/>
        </w:rPr>
      </w:pPr>
      <w:r>
        <w:rPr>
          <w:rFonts w:ascii="宋体" w:hAnsi="宋体" w:cs="Times New Roman"/>
          <w:sz w:val="24"/>
          <w:szCs w:val="24"/>
        </w:rPr>
        <w:t xml:space="preserve">1. </w:t>
      </w:r>
      <w:r>
        <w:rPr>
          <w:rFonts w:ascii="宋体" w:hAnsi="宋体" w:cs="Times New Roman" w:hint="eastAsia"/>
          <w:sz w:val="24"/>
          <w:szCs w:val="24"/>
        </w:rPr>
        <w:t>本表所填内容代表专家个人的正式考查意见，专家应在内部会议讨论结论前完成本表，考查报告有关内容将据此讨论形成；</w:t>
      </w:r>
    </w:p>
    <w:p w:rsidR="009F249E" w:rsidRDefault="00651FE7">
      <w:pPr>
        <w:ind w:left="2" w:firstLineChars="200" w:firstLine="480"/>
        <w:rPr>
          <w:rFonts w:ascii="宋体" w:hAnsi="宋体" w:cs="Times New Roman"/>
          <w:sz w:val="24"/>
          <w:szCs w:val="24"/>
        </w:rPr>
      </w:pPr>
      <w:r>
        <w:rPr>
          <w:rFonts w:ascii="宋体" w:hAnsi="宋体" w:cs="Times New Roman"/>
          <w:sz w:val="24"/>
          <w:szCs w:val="24"/>
        </w:rPr>
        <w:t xml:space="preserve">2. </w:t>
      </w:r>
      <w:r>
        <w:rPr>
          <w:rFonts w:ascii="宋体" w:hAnsi="宋体" w:cs="Times New Roman" w:hint="eastAsia"/>
          <w:sz w:val="24"/>
          <w:szCs w:val="24"/>
        </w:rPr>
        <w:t>专家应逐条对照认证标准判断标准项“达成情况”</w:t>
      </w:r>
      <w:r w:rsidR="005D3DB3">
        <w:rPr>
          <w:rFonts w:ascii="宋体" w:hAnsi="宋体" w:cs="Times New Roman" w:hint="eastAsia"/>
          <w:sz w:val="24"/>
          <w:szCs w:val="24"/>
        </w:rPr>
        <w:t>的结论</w:t>
      </w:r>
      <w:r>
        <w:rPr>
          <w:rFonts w:ascii="宋体" w:hAnsi="宋体" w:cs="Times New Roman" w:hint="eastAsia"/>
          <w:sz w:val="24"/>
          <w:szCs w:val="24"/>
        </w:rPr>
        <w:t>，并对照认证标准的二级指标撰写“问题及关注项”；</w:t>
      </w:r>
    </w:p>
    <w:p w:rsidR="009F249E" w:rsidRDefault="00651FE7">
      <w:pPr>
        <w:adjustRightInd w:val="0"/>
        <w:snapToGrid w:val="0"/>
        <w:ind w:firstLineChars="200" w:firstLine="480"/>
        <w:rPr>
          <w:rFonts w:ascii="宋体" w:hAnsi="宋体" w:cs="Times New Roman"/>
          <w:sz w:val="24"/>
          <w:szCs w:val="24"/>
        </w:rPr>
      </w:pPr>
      <w:r>
        <w:rPr>
          <w:rFonts w:ascii="宋体" w:hAnsi="宋体" w:cs="Times New Roman" w:hint="eastAsia"/>
          <w:sz w:val="24"/>
          <w:szCs w:val="24"/>
        </w:rPr>
        <w:t>3．对于标准项3，判定“达成”后，逐条描述判断专业制定的毕业要求覆盖CEEAA通用标准1</w:t>
      </w:r>
      <w:r>
        <w:rPr>
          <w:rFonts w:ascii="宋体" w:hAnsi="宋体" w:cs="Times New Roman"/>
          <w:sz w:val="24"/>
          <w:szCs w:val="24"/>
        </w:rPr>
        <w:t>2</w:t>
      </w:r>
      <w:r>
        <w:rPr>
          <w:rFonts w:ascii="宋体" w:hAnsi="宋体" w:cs="Times New Roman" w:hint="eastAsia"/>
          <w:sz w:val="24"/>
          <w:szCs w:val="24"/>
        </w:rPr>
        <w:t>条毕业要求的依据；对于标准项4.1，判定“达成”后，描述判断该标准</w:t>
      </w:r>
      <w:proofErr w:type="gramStart"/>
      <w:r>
        <w:rPr>
          <w:rFonts w:ascii="宋体" w:hAnsi="宋体" w:cs="Times New Roman" w:hint="eastAsia"/>
          <w:sz w:val="24"/>
          <w:szCs w:val="24"/>
        </w:rPr>
        <w:t>项达成</w:t>
      </w:r>
      <w:proofErr w:type="gramEnd"/>
      <w:r>
        <w:rPr>
          <w:rFonts w:ascii="宋体" w:hAnsi="宋体" w:cs="Times New Roman" w:hint="eastAsia"/>
          <w:sz w:val="24"/>
          <w:szCs w:val="24"/>
        </w:rPr>
        <w:t>的主要依据；对于标准项5.0，判定“达成”后，描述判断“课程体系支持毕业要求”达成的主要依据；</w:t>
      </w:r>
    </w:p>
    <w:p w:rsidR="009F249E" w:rsidRDefault="00651FE7">
      <w:pPr>
        <w:ind w:firstLineChars="200" w:firstLine="480"/>
        <w:rPr>
          <w:rFonts w:cs="Times New Roman"/>
          <w:sz w:val="24"/>
          <w:szCs w:val="20"/>
          <w:highlight w:val="yellow"/>
        </w:rPr>
      </w:pPr>
      <w:r>
        <w:rPr>
          <w:rFonts w:ascii="宋体" w:hAnsi="宋体" w:cs="Times New Roman" w:hint="eastAsia"/>
          <w:sz w:val="24"/>
          <w:szCs w:val="24"/>
        </w:rPr>
        <w:t>4</w:t>
      </w:r>
      <w:r>
        <w:rPr>
          <w:rFonts w:ascii="宋体" w:hAnsi="宋体" w:cs="Times New Roman"/>
          <w:sz w:val="24"/>
          <w:szCs w:val="24"/>
        </w:rPr>
        <w:t xml:space="preserve">. </w:t>
      </w:r>
      <w:r>
        <w:rPr>
          <w:rFonts w:ascii="宋体" w:hAnsi="宋体" w:cs="Times New Roman" w:hint="eastAsia"/>
          <w:sz w:val="24"/>
          <w:szCs w:val="24"/>
        </w:rPr>
        <w:t>本表中，为保证结论的一致性，专家应参照下列定义判断达标结论，判据描述必须结合专业实际，体现专家的视角，不能照抄标准用语：</w:t>
      </w:r>
    </w:p>
    <w:p w:rsidR="009F249E" w:rsidRDefault="00651FE7">
      <w:pPr>
        <w:pStyle w:val="af1"/>
        <w:numPr>
          <w:ilvl w:val="0"/>
          <w:numId w:val="4"/>
        </w:numPr>
        <w:ind w:firstLineChars="0"/>
        <w:rPr>
          <w:rFonts w:cs="Times New Roman"/>
          <w:sz w:val="24"/>
          <w:szCs w:val="20"/>
        </w:rPr>
      </w:pPr>
      <w:r>
        <w:rPr>
          <w:rFonts w:cs="Times New Roman" w:hint="eastAsia"/>
          <w:sz w:val="24"/>
          <w:szCs w:val="20"/>
        </w:rPr>
        <w:t>“达成”—指专业的现状完全满足（含高于）标准要求，注明无问题。</w:t>
      </w:r>
    </w:p>
    <w:p w:rsidR="009F249E" w:rsidRDefault="00651FE7">
      <w:pPr>
        <w:numPr>
          <w:ilvl w:val="0"/>
          <w:numId w:val="4"/>
        </w:numPr>
        <w:adjustRightInd w:val="0"/>
        <w:snapToGrid w:val="0"/>
        <w:rPr>
          <w:rFonts w:cs="Times New Roman"/>
          <w:sz w:val="24"/>
          <w:szCs w:val="20"/>
        </w:rPr>
      </w:pPr>
      <w:r>
        <w:rPr>
          <w:rFonts w:cs="Times New Roman" w:hint="eastAsia"/>
          <w:sz w:val="24"/>
          <w:szCs w:val="20"/>
        </w:rPr>
        <w:t>“达成，存在关注项”—指专业的现状满足标准要求，但存在需要关注的问题。此类问题属于对专业达标状态保持有潜在影响的问题，专家应清晰表述对需要关注问题的判断依据，以及对达标状态保持可能产生的潜在影响。（</w:t>
      </w:r>
      <w:r>
        <w:rPr>
          <w:rFonts w:ascii="楷体" w:eastAsia="楷体" w:hAnsi="楷体" w:cs="Times New Roman" w:hint="eastAsia"/>
          <w:sz w:val="24"/>
          <w:szCs w:val="20"/>
        </w:rPr>
        <w:t>如：针对标准项</w:t>
      </w:r>
      <w:r>
        <w:rPr>
          <w:rFonts w:ascii="楷体" w:eastAsia="楷体" w:hAnsi="楷体" w:cs="Times New Roman"/>
          <w:sz w:val="24"/>
          <w:szCs w:val="20"/>
        </w:rPr>
        <w:t>6.1</w:t>
      </w:r>
      <w:r>
        <w:rPr>
          <w:rFonts w:ascii="楷体" w:eastAsia="楷体" w:hAnsi="楷体" w:cs="Times New Roman" w:hint="eastAsia"/>
          <w:sz w:val="24"/>
          <w:szCs w:val="20"/>
        </w:rPr>
        <w:t>，专业近三年招生规模不断扩大，但教师规模未作相应调整，教师数量趋于紧张，从专业人才培养的发展需求看，存在师资数量无法满足教学需要的潜在风险</w:t>
      </w:r>
      <w:r>
        <w:rPr>
          <w:rFonts w:cs="Times New Roman" w:hint="eastAsia"/>
          <w:sz w:val="24"/>
          <w:szCs w:val="20"/>
        </w:rPr>
        <w:t>）。</w:t>
      </w:r>
    </w:p>
    <w:p w:rsidR="009F249E" w:rsidRDefault="00651FE7">
      <w:pPr>
        <w:numPr>
          <w:ilvl w:val="0"/>
          <w:numId w:val="4"/>
        </w:numPr>
        <w:adjustRightInd w:val="0"/>
        <w:snapToGrid w:val="0"/>
        <w:rPr>
          <w:rFonts w:cs="Times New Roman"/>
          <w:sz w:val="24"/>
          <w:szCs w:val="20"/>
        </w:rPr>
      </w:pPr>
      <w:r>
        <w:rPr>
          <w:rFonts w:cs="Times New Roman" w:hint="eastAsia"/>
          <w:sz w:val="24"/>
          <w:szCs w:val="20"/>
        </w:rPr>
        <w:t>“达成，存在</w:t>
      </w:r>
      <w:r w:rsidR="005D3DB3">
        <w:rPr>
          <w:rFonts w:cs="Times New Roman" w:hint="eastAsia"/>
          <w:sz w:val="24"/>
          <w:szCs w:val="20"/>
        </w:rPr>
        <w:t>问题</w:t>
      </w:r>
      <w:r>
        <w:rPr>
          <w:rFonts w:cs="Times New Roman" w:hint="eastAsia"/>
          <w:sz w:val="24"/>
          <w:szCs w:val="20"/>
        </w:rPr>
        <w:t>项”—指专业的现状满足标准要求，但存在需要改进的问题。此类问题属于专业达标过程中存在的不足，在认证有效期内必须改进。专家组应写实性描述问题的具体指向、判定依据和对相关标准达成的影响。问题描述应避免使用“不足”、“偏弱”、“有待改进”等含义不清的用语。（</w:t>
      </w:r>
      <w:r>
        <w:rPr>
          <w:rFonts w:ascii="楷体" w:eastAsia="楷体" w:hAnsi="楷体" w:cs="Times New Roman" w:hint="eastAsia"/>
          <w:sz w:val="24"/>
          <w:szCs w:val="20"/>
        </w:rPr>
        <w:t>如：针对标准项</w:t>
      </w:r>
      <w:r>
        <w:rPr>
          <w:rFonts w:ascii="楷体" w:eastAsia="楷体" w:hAnsi="楷体" w:cs="Times New Roman"/>
          <w:sz w:val="24"/>
          <w:szCs w:val="20"/>
        </w:rPr>
        <w:t>2.2</w:t>
      </w:r>
      <w:r w:rsidR="00AB24F7">
        <w:rPr>
          <w:rFonts w:ascii="楷体" w:eastAsia="楷体" w:hAnsi="楷体" w:cs="Times New Roman" w:hint="eastAsia"/>
          <w:sz w:val="24"/>
          <w:szCs w:val="20"/>
        </w:rPr>
        <w:t>，</w:t>
      </w:r>
      <w:r>
        <w:rPr>
          <w:rFonts w:ascii="楷体" w:eastAsia="楷体" w:hAnsi="楷体" w:cs="Times New Roman" w:hint="eastAsia"/>
          <w:sz w:val="24"/>
          <w:szCs w:val="20"/>
        </w:rPr>
        <w:t>在培养目标合理性评价过程中，调查问卷的内容与社会需求和利益相关者的期望关联不够明确，对调研结果也未深入分析，影响了评价结果的有效性</w:t>
      </w:r>
      <w:r>
        <w:rPr>
          <w:rFonts w:cs="Times New Roman" w:hint="eastAsia"/>
          <w:sz w:val="24"/>
          <w:szCs w:val="20"/>
        </w:rPr>
        <w:t>）。</w:t>
      </w:r>
    </w:p>
    <w:p w:rsidR="00AB24F7" w:rsidRDefault="00651FE7">
      <w:pPr>
        <w:numPr>
          <w:ilvl w:val="0"/>
          <w:numId w:val="4"/>
        </w:numPr>
        <w:adjustRightInd w:val="0"/>
        <w:snapToGrid w:val="0"/>
        <w:rPr>
          <w:rFonts w:cs="Times New Roman"/>
          <w:sz w:val="24"/>
          <w:szCs w:val="20"/>
        </w:rPr>
        <w:sectPr w:rsidR="00AB24F7" w:rsidSect="00AB24F7">
          <w:footerReference w:type="even" r:id="rId14"/>
          <w:footerReference w:type="default" r:id="rId15"/>
          <w:pgSz w:w="11906" w:h="16838"/>
          <w:pgMar w:top="1440" w:right="1800" w:bottom="1440" w:left="1800" w:header="851" w:footer="992" w:gutter="0"/>
          <w:cols w:space="425"/>
          <w:docGrid w:type="lines" w:linePitch="312"/>
        </w:sectPr>
      </w:pPr>
      <w:r>
        <w:rPr>
          <w:rFonts w:cs="Times New Roman" w:hint="eastAsia"/>
          <w:sz w:val="24"/>
          <w:szCs w:val="20"/>
        </w:rPr>
        <w:t>“未达成”—指专业的现状低于标准要求，存在不达标的问题。专家组应对照标准清晰描述导致不达标的问题所在和判定依据。（</w:t>
      </w:r>
      <w:r>
        <w:rPr>
          <w:rFonts w:ascii="楷体" w:eastAsia="楷体" w:hAnsi="楷体" w:cs="Times New Roman" w:hint="eastAsia"/>
          <w:sz w:val="24"/>
          <w:szCs w:val="20"/>
        </w:rPr>
        <w:t>如：针对标准项</w:t>
      </w:r>
      <w:r>
        <w:rPr>
          <w:rFonts w:ascii="楷体" w:eastAsia="楷体" w:hAnsi="楷体" w:cs="Times New Roman"/>
          <w:sz w:val="24"/>
          <w:szCs w:val="20"/>
        </w:rPr>
        <w:t>4.1</w:t>
      </w:r>
      <w:r>
        <w:rPr>
          <w:rFonts w:ascii="楷体" w:eastAsia="楷体" w:hAnsi="楷体" w:cs="Times New Roman" w:hint="eastAsia"/>
          <w:sz w:val="24"/>
          <w:szCs w:val="20"/>
        </w:rPr>
        <w:t>，专业建立的课程目标和毕业要求达成情况评价机制未真正实施，近三年无有效证据证明机制实施情况，提供的少量课程评价报告显示考核评价数据与课程目标要求缺乏关联，无法证明学生相关能力的达成情况</w:t>
      </w:r>
      <w:r>
        <w:rPr>
          <w:rFonts w:cs="Times New Roman" w:hint="eastAsia"/>
          <w:sz w:val="24"/>
          <w:szCs w:val="20"/>
        </w:rPr>
        <w:t>）。</w:t>
      </w:r>
    </w:p>
    <w:tbl>
      <w:tblPr>
        <w:tblW w:w="149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421"/>
        <w:gridCol w:w="12"/>
        <w:gridCol w:w="3923"/>
        <w:gridCol w:w="4854"/>
        <w:gridCol w:w="12"/>
      </w:tblGrid>
      <w:tr w:rsidR="009F249E">
        <w:trPr>
          <w:cantSplit/>
          <w:trHeight w:val="844"/>
          <w:tblHeader/>
        </w:trPr>
        <w:tc>
          <w:tcPr>
            <w:tcW w:w="6142" w:type="dxa"/>
            <w:gridSpan w:val="3"/>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t>认证标准</w:t>
            </w:r>
          </w:p>
        </w:tc>
        <w:tc>
          <w:tcPr>
            <w:tcW w:w="3923" w:type="dxa"/>
            <w:vAlign w:val="center"/>
          </w:tcPr>
          <w:p w:rsidR="009F249E" w:rsidRDefault="00651FE7">
            <w:pPr>
              <w:jc w:val="center"/>
              <w:rPr>
                <w:rFonts w:ascii="黑体" w:eastAsia="黑体" w:cs="Times New Roman"/>
                <w:b/>
                <w:sz w:val="21"/>
                <w:szCs w:val="21"/>
              </w:rPr>
            </w:pPr>
            <w:r>
              <w:rPr>
                <w:rFonts w:ascii="黑体" w:eastAsia="黑体" w:cs="Times New Roman" w:hint="eastAsia"/>
                <w:b/>
                <w:sz w:val="21"/>
                <w:szCs w:val="21"/>
              </w:rPr>
              <w:t>达成情况</w:t>
            </w:r>
          </w:p>
        </w:tc>
        <w:tc>
          <w:tcPr>
            <w:tcW w:w="4866" w:type="dxa"/>
            <w:gridSpan w:val="2"/>
            <w:vAlign w:val="center"/>
          </w:tcPr>
          <w:p w:rsidR="009F249E" w:rsidRDefault="00651FE7">
            <w:pPr>
              <w:jc w:val="center"/>
              <w:rPr>
                <w:rFonts w:ascii="黑体" w:eastAsia="黑体" w:cs="Times New Roman"/>
                <w:b/>
                <w:sz w:val="21"/>
                <w:szCs w:val="21"/>
              </w:rPr>
            </w:pPr>
            <w:r>
              <w:rPr>
                <w:rFonts w:ascii="黑体" w:eastAsia="黑体" w:cs="Times New Roman" w:hint="eastAsia"/>
                <w:b/>
                <w:sz w:val="21"/>
                <w:szCs w:val="21"/>
              </w:rPr>
              <w:t>问题及关注项</w:t>
            </w:r>
          </w:p>
        </w:tc>
      </w:tr>
      <w:tr w:rsidR="009F249E" w:rsidRPr="00AB24F7">
        <w:trPr>
          <w:gridAfter w:val="1"/>
          <w:wAfter w:w="12" w:type="dxa"/>
          <w:cantSplit/>
          <w:trHeight w:val="1097"/>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学生</w:t>
            </w:r>
          </w:p>
        </w:tc>
        <w:tc>
          <w:tcPr>
            <w:tcW w:w="5421" w:type="dxa"/>
            <w:vAlign w:val="center"/>
          </w:tcPr>
          <w:p w:rsidR="009F249E" w:rsidRDefault="00651FE7">
            <w:pPr>
              <w:rPr>
                <w:rFonts w:ascii="宋体" w:hAnsi="宋体" w:cs="Times New Roman"/>
                <w:sz w:val="21"/>
                <w:szCs w:val="21"/>
                <w:lang w:val="fr-FR"/>
              </w:rPr>
            </w:pPr>
            <w:r>
              <w:rPr>
                <w:rFonts w:ascii="宋体" w:hAnsi="宋体" w:cs="Times New Roman"/>
                <w:sz w:val="21"/>
                <w:szCs w:val="21"/>
                <w:lang w:val="fr-FR"/>
              </w:rPr>
              <w:t xml:space="preserve">1. </w:t>
            </w:r>
            <w:r>
              <w:rPr>
                <w:rFonts w:ascii="宋体" w:hAnsi="宋体" w:cs="Times New Roman" w:hint="eastAsia"/>
                <w:sz w:val="21"/>
                <w:szCs w:val="21"/>
              </w:rPr>
              <w:t>具有吸引优秀生源的制度和措施。</w:t>
            </w:r>
          </w:p>
        </w:tc>
        <w:tc>
          <w:tcPr>
            <w:tcW w:w="3935" w:type="dxa"/>
            <w:gridSpan w:val="2"/>
            <w:vAlign w:val="center"/>
          </w:tcPr>
          <w:p w:rsidR="009F249E" w:rsidRDefault="009F249E">
            <w:pPr>
              <w:rPr>
                <w:rFonts w:ascii="黑体" w:eastAsia="黑体" w:cs="Times New Roman"/>
                <w:b/>
                <w:sz w:val="21"/>
                <w:szCs w:val="21"/>
                <w:lang w:val="fr-FR"/>
              </w:rPr>
            </w:pPr>
          </w:p>
        </w:tc>
        <w:tc>
          <w:tcPr>
            <w:tcW w:w="4854" w:type="dxa"/>
            <w:vAlign w:val="center"/>
          </w:tcPr>
          <w:p w:rsidR="009F249E" w:rsidRDefault="009F249E">
            <w:pPr>
              <w:rPr>
                <w:rFonts w:ascii="黑体" w:eastAsia="黑体" w:cs="Times New Roman"/>
                <w:b/>
                <w:sz w:val="21"/>
                <w:szCs w:val="21"/>
                <w:lang w:val="fr-FR"/>
              </w:rPr>
            </w:pPr>
          </w:p>
        </w:tc>
      </w:tr>
      <w:tr w:rsidR="009F249E">
        <w:trPr>
          <w:gridAfter w:val="1"/>
          <w:wAfter w:w="12" w:type="dxa"/>
          <w:cantSplit/>
          <w:trHeight w:val="1079"/>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具有完善的学生学习指导、职业规划、就业指导、心理辅导等方面的措施并能够很好地执行落实。</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70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对学生在整个学习过程中的表现进行跟踪与评估，并通过形成性评价保证学生毕业时达到毕业要求。</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4. </w:t>
            </w:r>
            <w:r>
              <w:rPr>
                <w:rFonts w:ascii="宋体" w:hAnsi="宋体" w:cs="Times New Roman" w:hint="eastAsia"/>
                <w:sz w:val="21"/>
                <w:szCs w:val="21"/>
              </w:rPr>
              <w:t>有明确的规定和相应认定过程，认可转专业、转学学生的原有学分。</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4"/>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培养目标</w:t>
            </w: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有公开的、符合学校定位的、适应社会经济发展需要的培养目标。</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41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rPr>
                <w:rFonts w:ascii="宋体" w:hAnsi="宋体" w:cs="Times New Roman"/>
                <w:sz w:val="21"/>
                <w:szCs w:val="21"/>
              </w:rPr>
            </w:pPr>
            <w:r>
              <w:rPr>
                <w:rFonts w:ascii="宋体" w:hAnsi="宋体" w:cs="Times New Roman"/>
                <w:sz w:val="21"/>
                <w:szCs w:val="21"/>
              </w:rPr>
              <w:t>2.</w:t>
            </w:r>
            <w:r>
              <w:rPr>
                <w:rFonts w:ascii="宋体" w:hAnsi="宋体" w:cs="Times New Roman" w:hint="eastAsia"/>
                <w:sz w:val="21"/>
                <w:szCs w:val="21"/>
              </w:rPr>
              <w:t xml:space="preserve"> </w:t>
            </w:r>
            <w:r>
              <w:rPr>
                <w:rFonts w:ascii="宋体" w:hAnsi="宋体" w:cs="Times New Roman"/>
                <w:sz w:val="21"/>
                <w:szCs w:val="21"/>
              </w:rPr>
              <w:t>定期评价培养目标的合理性并根据评价结果对培养目标进行修订，评价与修订过程有行业或企业专家参与。</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684"/>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t>毕业要求</w:t>
            </w:r>
          </w:p>
        </w:tc>
        <w:tc>
          <w:tcPr>
            <w:tcW w:w="5421" w:type="dxa"/>
            <w:vAlign w:val="center"/>
          </w:tcPr>
          <w:p w:rsidR="009F249E" w:rsidRDefault="00651FE7">
            <w:pPr>
              <w:rPr>
                <w:rFonts w:ascii="宋体" w:hAnsi="宋体" w:cs="Times New Roman"/>
                <w:sz w:val="21"/>
                <w:szCs w:val="21"/>
                <w:lang w:val="fr-FR"/>
              </w:rPr>
            </w:pPr>
            <w:r>
              <w:rPr>
                <w:rFonts w:ascii="宋体" w:hAnsi="宋体" w:cs="Times New Roman" w:hint="eastAsia"/>
                <w:sz w:val="21"/>
                <w:szCs w:val="21"/>
                <w:lang w:val="fr-FR"/>
              </w:rPr>
              <w:t>专业必须有明确、公开、可衡量的毕业要求</w:t>
            </w:r>
            <w:r>
              <w:rPr>
                <w:rFonts w:ascii="宋体" w:hAnsi="宋体" w:cs="Times New Roman"/>
                <w:sz w:val="21"/>
                <w:szCs w:val="21"/>
                <w:lang w:val="fr-FR"/>
              </w:rPr>
              <w:t>,</w:t>
            </w:r>
            <w:r>
              <w:rPr>
                <w:rFonts w:ascii="宋体" w:hAnsi="宋体" w:cs="Times New Roman" w:hint="eastAsia"/>
                <w:sz w:val="21"/>
                <w:szCs w:val="21"/>
                <w:lang w:val="fr-FR"/>
              </w:rPr>
              <w:t>毕业要求应能支撑培养目标的达成。</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3"/>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bCs/>
                <w:sz w:val="21"/>
                <w:szCs w:val="21"/>
              </w:rPr>
            </w:pPr>
            <w:r>
              <w:rPr>
                <w:rFonts w:ascii="宋体" w:hAnsi="宋体" w:cs="Times New Roman" w:hint="eastAsia"/>
                <w:bCs/>
                <w:sz w:val="21"/>
                <w:szCs w:val="21"/>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bCs/>
                <w:sz w:val="21"/>
                <w:szCs w:val="21"/>
              </w:rPr>
              <w:t>1. 工程知识：能够将数学、自然科学、工程基础和专业知识用于解决复杂工程问题。</w:t>
            </w:r>
          </w:p>
        </w:tc>
        <w:tc>
          <w:tcPr>
            <w:tcW w:w="3935" w:type="dxa"/>
            <w:gridSpan w:val="2"/>
            <w:vAlign w:val="center"/>
          </w:tcPr>
          <w:p w:rsidR="009F249E" w:rsidRDefault="00651FE7">
            <w:pPr>
              <w:rPr>
                <w:rFonts w:ascii="黑体" w:eastAsia="黑体" w:cs="Times New Roman"/>
                <w:b/>
                <w:sz w:val="21"/>
                <w:szCs w:val="21"/>
              </w:rPr>
            </w:pPr>
            <w:r>
              <w:rPr>
                <w:rFonts w:ascii="宋体" w:hAnsi="宋体" w:cs="Times New Roman" w:hint="eastAsia"/>
                <w:sz w:val="21"/>
                <w:szCs w:val="21"/>
                <w:lang w:val="fr-FR"/>
              </w:rPr>
              <w:t>（备注：按照填表说明，判定“达成”后，专家应就专业制定的毕业要求，逐项描述覆盖CEEAA通用标准12条毕业要求的依据，下同；</w:t>
            </w:r>
            <w:r>
              <w:rPr>
                <w:rFonts w:ascii="楷体" w:eastAsia="楷体" w:hAnsi="楷体" w:cs="楷体" w:hint="eastAsia"/>
                <w:sz w:val="21"/>
                <w:szCs w:val="21"/>
                <w:lang w:val="fr-FR"/>
              </w:rPr>
              <w:t>例：专业制定毕业要求</w:t>
            </w:r>
            <w:r>
              <w:rPr>
                <w:rFonts w:ascii="楷体" w:eastAsia="楷体" w:hAnsi="楷体" w:cs="楷体"/>
                <w:sz w:val="21"/>
                <w:szCs w:val="21"/>
                <w:lang w:val="fr-FR"/>
              </w:rPr>
              <w:t>1</w:t>
            </w:r>
            <w:r>
              <w:rPr>
                <w:rFonts w:ascii="楷体" w:eastAsia="楷体" w:hAnsi="楷体" w:cs="楷体" w:hint="eastAsia"/>
                <w:sz w:val="21"/>
                <w:szCs w:val="21"/>
                <w:lang w:val="fr-FR"/>
              </w:rPr>
              <w:t>为：“列出全文”，据此判断，专业毕业要求</w:t>
            </w:r>
            <w:r>
              <w:rPr>
                <w:rFonts w:ascii="楷体" w:eastAsia="楷体" w:hAnsi="楷体" w:cs="楷体" w:hint="eastAsia"/>
                <w:sz w:val="21"/>
                <w:szCs w:val="21"/>
              </w:rPr>
              <w:t>1</w:t>
            </w:r>
            <w:proofErr w:type="gramStart"/>
            <w:r>
              <w:rPr>
                <w:rFonts w:ascii="楷体" w:eastAsia="楷体" w:hAnsi="楷体" w:cs="楷体" w:hint="eastAsia"/>
                <w:sz w:val="21"/>
                <w:szCs w:val="21"/>
                <w:lang w:val="fr-FR"/>
              </w:rPr>
              <w:t>覆盖此</w:t>
            </w:r>
            <w:proofErr w:type="gramEnd"/>
            <w:r>
              <w:rPr>
                <w:rFonts w:ascii="楷体" w:eastAsia="楷体" w:hAnsi="楷体" w:cs="楷体" w:hint="eastAsia"/>
                <w:sz w:val="21"/>
                <w:szCs w:val="21"/>
                <w:lang w:val="fr-FR"/>
              </w:rPr>
              <w:t>标准。</w:t>
            </w:r>
            <w:r>
              <w:rPr>
                <w:rFonts w:ascii="宋体" w:hAnsi="宋体" w:cs="Times New Roman" w:hint="eastAsia"/>
                <w:sz w:val="21"/>
                <w:szCs w:val="21"/>
                <w:lang w:val="fr-FR"/>
              </w:rPr>
              <w:t>）</w:t>
            </w:r>
          </w:p>
        </w:tc>
        <w:tc>
          <w:tcPr>
            <w:tcW w:w="4854" w:type="dxa"/>
            <w:vAlign w:val="center"/>
          </w:tcPr>
          <w:p w:rsidR="009F249E" w:rsidRDefault="00651FE7">
            <w:pPr>
              <w:rPr>
                <w:rFonts w:ascii="宋体" w:hAnsi="宋体" w:cs="Times New Roman"/>
                <w:sz w:val="21"/>
                <w:szCs w:val="21"/>
                <w:lang w:val="fr-FR"/>
              </w:rPr>
            </w:pPr>
            <w:r>
              <w:rPr>
                <w:rFonts w:ascii="宋体" w:hAnsi="宋体" w:cs="Times New Roman" w:hint="eastAsia"/>
                <w:sz w:val="21"/>
                <w:szCs w:val="21"/>
                <w:lang w:val="fr-FR"/>
              </w:rPr>
              <w:t>（备注：专家应就专业自己制定的毕业要求，对照标准要求逐项描述存在的问题及关注项，下同。）</w:t>
            </w:r>
          </w:p>
        </w:tc>
      </w:tr>
      <w:tr w:rsidR="009F249E">
        <w:trPr>
          <w:gridAfter w:val="1"/>
          <w:wAfter w:w="12" w:type="dxa"/>
          <w:cantSplit/>
          <w:trHeight w:val="84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bCs/>
                <w:sz w:val="21"/>
                <w:szCs w:val="21"/>
              </w:rPr>
            </w:pPr>
            <w:r>
              <w:rPr>
                <w:rFonts w:ascii="宋体" w:hAnsi="宋体" w:cs="Times New Roman" w:hint="eastAsia"/>
                <w:bCs/>
                <w:sz w:val="21"/>
                <w:szCs w:val="21"/>
              </w:rPr>
              <w:t>专业制定的毕业要求应覆盖以下要求：</w:t>
            </w:r>
          </w:p>
          <w:p w:rsidR="009F249E" w:rsidRDefault="00651FE7">
            <w:pPr>
              <w:snapToGrid w:val="0"/>
              <w:spacing w:line="360" w:lineRule="auto"/>
              <w:rPr>
                <w:rFonts w:ascii="宋体" w:hAnsi="宋体" w:cs="Times New Roman"/>
                <w:b/>
                <w:sz w:val="21"/>
                <w:szCs w:val="21"/>
              </w:rPr>
            </w:pPr>
            <w:r>
              <w:rPr>
                <w:rFonts w:ascii="宋体" w:hAnsi="宋体" w:cs="Times New Roman" w:hint="eastAsia"/>
                <w:bCs/>
                <w:sz w:val="21"/>
                <w:szCs w:val="21"/>
              </w:rPr>
              <w:t>2. 问题分析：能够应用数学、自然科学和工程科学的基本原理，识别、表达、并通过文献研究分析复杂工程问题，以获得有效结论。</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32"/>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毕业要求</w:t>
            </w:r>
          </w:p>
        </w:tc>
        <w:tc>
          <w:tcPr>
            <w:tcW w:w="5421" w:type="dxa"/>
            <w:vAlign w:val="center"/>
          </w:tcPr>
          <w:p w:rsidR="009F249E" w:rsidRDefault="00651FE7">
            <w:pPr>
              <w:snapToGrid w:val="0"/>
              <w:spacing w:line="360" w:lineRule="auto"/>
              <w:rPr>
                <w:rFonts w:ascii="宋体" w:hAnsi="宋体" w:cs="Times New Roman"/>
                <w:bCs/>
                <w:sz w:val="21"/>
                <w:szCs w:val="21"/>
              </w:rPr>
            </w:pPr>
            <w:r>
              <w:rPr>
                <w:rFonts w:ascii="宋体" w:hAnsi="宋体" w:cs="Times New Roman" w:hint="eastAsia"/>
                <w:bCs/>
                <w:sz w:val="21"/>
                <w:szCs w:val="21"/>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bCs/>
                <w:sz w:val="21"/>
                <w:szCs w:val="21"/>
              </w:rPr>
              <w:t>3. 设计/开发解决方案：能够设计针对复杂工程问题的解决方案，设计满足特定需求的系统、单元（部件）或工艺流程，并能够在设计环节中体现创新意识，考虑社会、健康、安全、法律、文化以及环境等因素。</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018"/>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cs="Times New Roman"/>
                <w:sz w:val="21"/>
                <w:szCs w:val="20"/>
                <w:highlight w:val="yellow"/>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4. 研究：能够基于科学原理并采用科学方法对复杂工程问题进行研究，包括设计实验、分析与解释数据、并通过信息综合得到合理有效的结论。</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503"/>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5. 使用现代工具：能够针对复杂工程问题，开发、选择与使用恰当的技术、资源、现代工程工具和信息技术工具，包括对复杂工程问题的预测与模拟，并能够理解其局限性。</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6. 工程与社会：能够基于工程相关背景知识进行合理分析，评价专业工程实践和复杂工程问题解决方案对社会、健康、安全、法律以及文化的影响，并理解应承担的责任。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15"/>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7. 环境和可持续发展：能够理解和评价针对复杂工程问题的工程实践对环境、社会可持续发展的影响。</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553"/>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毕业要求</w:t>
            </w: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8. 职业规范：具有人文社会科学素养、社会责任感，能够在工程实践中理解并遵守工程职业道德和规范，履行责任。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84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9. 个人和团队：能够在多学科背景下的团队中承担个体、团队成员以及负责人的角色。</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88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10. 沟通：能够就复杂工程问题与业界同行及社会公众进行有效沟通和交流，包括撰写报告和设计文稿、陈述发言、清晰表达或回应指令。并具备一定的国际视野，能够在跨文化背景下进行沟通和交流。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2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lang w:val="fr-FR"/>
              </w:rPr>
            </w:pPr>
            <w:r>
              <w:rPr>
                <w:rFonts w:ascii="宋体" w:hAnsi="宋体" w:cs="Times New Roman" w:hint="eastAsia"/>
                <w:sz w:val="21"/>
                <w:szCs w:val="21"/>
                <w:lang w:val="fr-FR"/>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lang w:val="fr-FR"/>
              </w:rPr>
              <w:t>1</w:t>
            </w:r>
            <w:r>
              <w:rPr>
                <w:rFonts w:ascii="宋体" w:hAnsi="宋体" w:cs="Times New Roman"/>
                <w:sz w:val="21"/>
                <w:szCs w:val="21"/>
                <w:lang w:val="fr-FR"/>
              </w:rPr>
              <w:t>1.</w:t>
            </w:r>
            <w:r>
              <w:rPr>
                <w:rFonts w:ascii="宋体" w:hAnsi="宋体" w:cs="Times New Roman" w:hint="eastAsia"/>
                <w:sz w:val="21"/>
                <w:szCs w:val="21"/>
                <w:lang w:val="fr-FR"/>
              </w:rPr>
              <w:t xml:space="preserve"> 项目管理：理解并掌握工程管理原理与经济决策方法，并能在多学科环境中应用。</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25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专业制定的毕业要求应覆盖以下要求：</w:t>
            </w:r>
          </w:p>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12. 终身学习：具有自主学习和终身学习的意识，有不断学习和适应发展的能力。</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700"/>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t>持续改进</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建立教学过程质量监控机制，各主要教学环节有明确的质量要求，定期开展课程体系设置和课程质量评价。建立毕业要求达成情况评价机制，定期开展毕业要求达成情况评价。</w:t>
            </w:r>
          </w:p>
        </w:tc>
        <w:tc>
          <w:tcPr>
            <w:tcW w:w="3935" w:type="dxa"/>
            <w:gridSpan w:val="2"/>
            <w:vAlign w:val="center"/>
          </w:tcPr>
          <w:p w:rsidR="009F249E" w:rsidRDefault="00651FE7">
            <w:pPr>
              <w:rPr>
                <w:rFonts w:ascii="黑体" w:eastAsia="黑体" w:cs="Times New Roman"/>
                <w:b/>
                <w:sz w:val="21"/>
                <w:szCs w:val="21"/>
              </w:rPr>
            </w:pPr>
            <w:r>
              <w:rPr>
                <w:rFonts w:ascii="宋体" w:hAnsi="宋体" w:cs="Times New Roman" w:hint="eastAsia"/>
                <w:sz w:val="21"/>
                <w:szCs w:val="21"/>
              </w:rPr>
              <w:t>（备注：按照填表说明，判定“达成”后，描述判断4</w:t>
            </w:r>
            <w:r>
              <w:rPr>
                <w:rFonts w:ascii="宋体" w:hAnsi="宋体" w:cs="Times New Roman"/>
                <w:sz w:val="21"/>
                <w:szCs w:val="21"/>
              </w:rPr>
              <w:t>.1</w:t>
            </w:r>
            <w:r>
              <w:rPr>
                <w:rFonts w:ascii="宋体" w:hAnsi="宋体" w:cs="Times New Roman" w:hint="eastAsia"/>
                <w:sz w:val="21"/>
                <w:szCs w:val="21"/>
              </w:rPr>
              <w:t>标准</w:t>
            </w:r>
            <w:proofErr w:type="gramStart"/>
            <w:r>
              <w:rPr>
                <w:rFonts w:ascii="宋体" w:hAnsi="宋体" w:cs="Times New Roman" w:hint="eastAsia"/>
                <w:sz w:val="21"/>
                <w:szCs w:val="21"/>
              </w:rPr>
              <w:t>项达成</w:t>
            </w:r>
            <w:proofErr w:type="gramEnd"/>
            <w:r>
              <w:rPr>
                <w:rFonts w:ascii="宋体" w:hAnsi="宋体" w:cs="Times New Roman" w:hint="eastAsia"/>
                <w:sz w:val="21"/>
                <w:szCs w:val="21"/>
              </w:rPr>
              <w:t>的主要依据）</w:t>
            </w: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68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建立毕业生跟踪反馈机制以及有高等教育系统以外有关各方参与的社会评价机制，对培养目标的达成情况进行定期分析。</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275"/>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能证明评价的结果被用于专业的持续改进。</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251"/>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课程体系</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hint="eastAsia"/>
                <w:sz w:val="21"/>
                <w:szCs w:val="21"/>
              </w:rPr>
              <w:t>课程设置能支持毕业要求的达成，课程体系设计有企业或行业专家参与。课程体系必须包括：</w:t>
            </w:r>
          </w:p>
        </w:tc>
        <w:tc>
          <w:tcPr>
            <w:tcW w:w="3935" w:type="dxa"/>
            <w:gridSpan w:val="2"/>
            <w:vAlign w:val="center"/>
          </w:tcPr>
          <w:p w:rsidR="009F249E" w:rsidRDefault="00651FE7">
            <w:pPr>
              <w:rPr>
                <w:rFonts w:ascii="黑体" w:eastAsia="黑体" w:cs="Times New Roman"/>
                <w:b/>
                <w:sz w:val="21"/>
                <w:szCs w:val="21"/>
              </w:rPr>
            </w:pPr>
            <w:r>
              <w:rPr>
                <w:rFonts w:ascii="宋体" w:hAnsi="宋体" w:cs="Times New Roman" w:hint="eastAsia"/>
                <w:sz w:val="21"/>
                <w:szCs w:val="21"/>
              </w:rPr>
              <w:t>（备注：按照填表说明，判定“达成”后，描述判断“课程体系支持毕业要求”达成的主要依据）</w:t>
            </w: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000"/>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1．与本专业毕业要求相适应的数学与自然科学类课程（至少占总学分的15%）。</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Pr>
        <w:tc>
          <w:tcPr>
            <w:tcW w:w="709" w:type="dxa"/>
            <w:vMerge w:val="restart"/>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课程体系</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2．符合本专业毕业要求的工程基础类课程、专业基础类课程与专业类课程（至少占总学分的30%）。工程基础类课程和专业基础类课程能体现数学和自然科学在本专业应用能力培养，专业类课程能体现系统设计和实现能力的培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318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3.工程实践与毕业设计（论文）（至少占总学分的20%）。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489"/>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4.人文社会科学类通识教育课程（至少占总学分的15%），使学生在从事工程设计时能够考虑经济、环境、法律、伦理等各种制约因素。</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71"/>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t>师资队伍</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教师数量能满足教学需要，结构合理，并有企业或行业专家作为兼职教师。</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564"/>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教师具有足够的教学能力、专业水平、工程经验、沟通能力、职业发展能力，并且能够开展工程实践问题研究，参与学术交流。教师的工程背景应能满足专业教学的需要。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83"/>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教师有足够时间和精力投入到本科教学和学生指导中，并积极参与教学研究与改革。</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11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4. </w:t>
            </w:r>
            <w:r>
              <w:rPr>
                <w:rFonts w:ascii="宋体" w:hAnsi="宋体" w:cs="Times New Roman" w:hint="eastAsia"/>
                <w:sz w:val="21"/>
                <w:szCs w:val="21"/>
              </w:rPr>
              <w:t>教师为学生提供指导、咨询、服务，并对学生职业生涯规划、职业从业教育有足够的指导。</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99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5. </w:t>
            </w:r>
            <w:r>
              <w:rPr>
                <w:rFonts w:ascii="宋体" w:hAnsi="宋体" w:cs="Times New Roman" w:hint="eastAsia"/>
                <w:sz w:val="21"/>
                <w:szCs w:val="21"/>
              </w:rPr>
              <w:t>教师明确他们在教学质量提升过程中的责任，不断改进工作。</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rsidTr="001E1A05">
        <w:trPr>
          <w:gridAfter w:val="1"/>
          <w:wAfter w:w="12" w:type="dxa"/>
          <w:cantSplit/>
          <w:trHeight w:val="1551"/>
        </w:trPr>
        <w:tc>
          <w:tcPr>
            <w:tcW w:w="709" w:type="dxa"/>
            <w:vMerge w:val="restart"/>
            <w:vAlign w:val="center"/>
          </w:tcPr>
          <w:p w:rsidR="009F249E" w:rsidRDefault="00651FE7">
            <w:pPr>
              <w:jc w:val="center"/>
              <w:rPr>
                <w:rFonts w:ascii="宋体" w:hAnsi="宋体" w:cs="Times New Roman"/>
                <w:b/>
                <w:sz w:val="21"/>
                <w:szCs w:val="21"/>
              </w:rPr>
            </w:pPr>
            <w:r>
              <w:rPr>
                <w:rFonts w:ascii="宋体" w:hAnsi="宋体" w:cs="Times New Roman" w:hint="eastAsia"/>
                <w:b/>
                <w:sz w:val="21"/>
                <w:szCs w:val="21"/>
              </w:rPr>
              <w:t>支持条件</w:t>
            </w: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1. </w:t>
            </w:r>
            <w:r>
              <w:rPr>
                <w:rFonts w:ascii="宋体" w:hAnsi="宋体" w:cs="Times New Roman" w:hint="eastAsia"/>
                <w:sz w:val="21"/>
                <w:szCs w:val="21"/>
              </w:rPr>
              <w:t>教室、实验室及设备在数量和功能上满足教学需要。有良好的管理、维护和更新机制，使得学生能够方便地使用。与企业合作共建实习和实训基地，在教学过程中为学生提供参与工程实践的平台。</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1037"/>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2. </w:t>
            </w:r>
            <w:r>
              <w:rPr>
                <w:rFonts w:ascii="宋体" w:hAnsi="宋体" w:cs="Times New Roman" w:hint="eastAsia"/>
                <w:sz w:val="21"/>
                <w:szCs w:val="21"/>
              </w:rPr>
              <w:t>计算机、网络以及图书资料资源能够满足学生的学习以及教师的日常教学和科研所需。资源管理规范、共享程度高。</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516"/>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3. </w:t>
            </w:r>
            <w:r>
              <w:rPr>
                <w:rFonts w:ascii="宋体" w:hAnsi="宋体" w:cs="Times New Roman" w:hint="eastAsia"/>
                <w:sz w:val="21"/>
                <w:szCs w:val="21"/>
              </w:rPr>
              <w:t>教学经费有保证，总量能满足教学需要。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rsidTr="007D3A94">
        <w:trPr>
          <w:gridAfter w:val="1"/>
          <w:wAfter w:w="12" w:type="dxa"/>
          <w:cantSplit/>
          <w:trHeight w:val="834"/>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4．学校能够有效地支持教师队伍建设，吸引与稳定合格的教师，并支持教师本身的专业发展，包括对青年教师的指导和培养。</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trPr>
          <w:gridAfter w:val="1"/>
          <w:wAfter w:w="12" w:type="dxa"/>
          <w:cantSplit/>
          <w:trHeight w:val="739"/>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sz w:val="21"/>
                <w:szCs w:val="21"/>
              </w:rPr>
            </w:pPr>
            <w:r>
              <w:rPr>
                <w:rFonts w:ascii="宋体" w:hAnsi="宋体" w:cs="Times New Roman"/>
                <w:sz w:val="21"/>
                <w:szCs w:val="21"/>
              </w:rPr>
              <w:t xml:space="preserve">5. </w:t>
            </w:r>
            <w:r>
              <w:rPr>
                <w:rFonts w:ascii="宋体" w:hAnsi="宋体" w:cs="Times New Roman" w:hint="eastAsia"/>
                <w:sz w:val="21"/>
                <w:szCs w:val="21"/>
              </w:rPr>
              <w:t>学校能够提供达成毕业要求所必需的基础设施，包括为学生的实践活动、创新活动提供有效支持。</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rsidTr="001E1A05">
        <w:trPr>
          <w:gridAfter w:val="1"/>
          <w:wAfter w:w="12" w:type="dxa"/>
          <w:cantSplit/>
          <w:trHeight w:val="621"/>
        </w:trPr>
        <w:tc>
          <w:tcPr>
            <w:tcW w:w="709" w:type="dxa"/>
            <w:vMerge/>
            <w:vAlign w:val="center"/>
          </w:tcPr>
          <w:p w:rsidR="009F249E" w:rsidRDefault="009F249E">
            <w:pPr>
              <w:jc w:val="center"/>
              <w:rPr>
                <w:rFonts w:ascii="宋体" w:hAnsi="宋体" w:cs="Times New Roman"/>
                <w:sz w:val="21"/>
                <w:szCs w:val="21"/>
                <w:lang w:val="fr-FR"/>
              </w:rPr>
            </w:pPr>
          </w:p>
        </w:tc>
        <w:tc>
          <w:tcPr>
            <w:tcW w:w="5421" w:type="dxa"/>
            <w:vAlign w:val="center"/>
          </w:tcPr>
          <w:p w:rsidR="009F249E" w:rsidRDefault="00651FE7">
            <w:pPr>
              <w:snapToGrid w:val="0"/>
              <w:spacing w:line="360" w:lineRule="auto"/>
              <w:rPr>
                <w:rFonts w:ascii="宋体" w:hAnsi="宋体" w:cs="Times New Roman"/>
                <w:kern w:val="0"/>
                <w:sz w:val="21"/>
                <w:szCs w:val="21"/>
              </w:rPr>
            </w:pPr>
            <w:r>
              <w:rPr>
                <w:rFonts w:ascii="宋体" w:hAnsi="宋体" w:cs="Times New Roman"/>
                <w:kern w:val="0"/>
                <w:sz w:val="21"/>
                <w:szCs w:val="21"/>
              </w:rPr>
              <w:t xml:space="preserve">6. </w:t>
            </w:r>
            <w:r>
              <w:rPr>
                <w:rFonts w:ascii="宋体" w:hAnsi="宋体" w:cs="Times New Roman" w:hint="eastAsia"/>
                <w:kern w:val="0"/>
                <w:sz w:val="21"/>
                <w:szCs w:val="21"/>
              </w:rPr>
              <w:t>学校的教学管理与服务规范，能有效地支持专业毕业要求的达成。</w:t>
            </w:r>
            <w:bookmarkStart w:id="63" w:name="_GoBack"/>
            <w:bookmarkEnd w:id="63"/>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r w:rsidR="009F249E" w:rsidTr="001E1A05">
        <w:trPr>
          <w:gridAfter w:val="1"/>
          <w:wAfter w:w="12" w:type="dxa"/>
          <w:cantSplit/>
          <w:trHeight w:val="350"/>
        </w:trPr>
        <w:tc>
          <w:tcPr>
            <w:tcW w:w="709" w:type="dxa"/>
            <w:vAlign w:val="center"/>
          </w:tcPr>
          <w:p w:rsidR="009F249E" w:rsidRDefault="00651FE7">
            <w:pPr>
              <w:jc w:val="center"/>
              <w:rPr>
                <w:rFonts w:ascii="宋体" w:hAnsi="宋体" w:cs="Times New Roman"/>
                <w:sz w:val="21"/>
                <w:szCs w:val="21"/>
                <w:lang w:val="fr-FR"/>
              </w:rPr>
            </w:pPr>
            <w:r>
              <w:rPr>
                <w:rFonts w:ascii="宋体" w:hAnsi="宋体" w:cs="Times New Roman" w:hint="eastAsia"/>
                <w:b/>
                <w:sz w:val="21"/>
                <w:szCs w:val="21"/>
              </w:rPr>
              <w:t>补充标准</w:t>
            </w:r>
          </w:p>
        </w:tc>
        <w:tc>
          <w:tcPr>
            <w:tcW w:w="5421" w:type="dxa"/>
            <w:vAlign w:val="center"/>
          </w:tcPr>
          <w:p w:rsidR="009F249E" w:rsidRDefault="00651FE7">
            <w:pPr>
              <w:snapToGrid w:val="0"/>
              <w:spacing w:line="360" w:lineRule="auto"/>
              <w:rPr>
                <w:rFonts w:ascii="宋体" w:hAnsi="宋体" w:cs="Times New Roman"/>
                <w:kern w:val="0"/>
                <w:sz w:val="21"/>
                <w:szCs w:val="21"/>
              </w:rPr>
            </w:pPr>
            <w:r>
              <w:rPr>
                <w:rFonts w:ascii="宋体" w:hAnsi="宋体" w:cs="Times New Roman" w:hint="eastAsia"/>
                <w:kern w:val="0"/>
                <w:sz w:val="21"/>
                <w:szCs w:val="21"/>
              </w:rPr>
              <w:t>（参照专业类补充标准）</w:t>
            </w:r>
          </w:p>
        </w:tc>
        <w:tc>
          <w:tcPr>
            <w:tcW w:w="3935" w:type="dxa"/>
            <w:gridSpan w:val="2"/>
            <w:vAlign w:val="center"/>
          </w:tcPr>
          <w:p w:rsidR="009F249E" w:rsidRDefault="009F249E">
            <w:pPr>
              <w:rPr>
                <w:rFonts w:ascii="黑体" w:eastAsia="黑体" w:cs="Times New Roman"/>
                <w:b/>
                <w:sz w:val="21"/>
                <w:szCs w:val="21"/>
              </w:rPr>
            </w:pPr>
          </w:p>
        </w:tc>
        <w:tc>
          <w:tcPr>
            <w:tcW w:w="4854" w:type="dxa"/>
            <w:vAlign w:val="center"/>
          </w:tcPr>
          <w:p w:rsidR="009F249E" w:rsidRDefault="009F249E">
            <w:pPr>
              <w:rPr>
                <w:rFonts w:ascii="黑体" w:eastAsia="黑体" w:cs="Times New Roman"/>
                <w:b/>
                <w:sz w:val="21"/>
                <w:szCs w:val="21"/>
              </w:rPr>
            </w:pPr>
          </w:p>
        </w:tc>
      </w:tr>
    </w:tbl>
    <w:p w:rsidR="009F249E" w:rsidRDefault="009F249E" w:rsidP="00CE7BDF">
      <w:pPr>
        <w:jc w:val="left"/>
        <w:rPr>
          <w:rFonts w:cs="Times New Roman"/>
          <w:sz w:val="21"/>
          <w:szCs w:val="20"/>
        </w:rPr>
        <w:sectPr w:rsidR="009F249E">
          <w:pgSz w:w="16838" w:h="11906" w:orient="landscape"/>
          <w:pgMar w:top="1800" w:right="1440" w:bottom="1800" w:left="1440" w:header="851" w:footer="992" w:gutter="0"/>
          <w:cols w:space="425"/>
          <w:docGrid w:type="lines" w:linePitch="312"/>
        </w:sectPr>
      </w:pPr>
    </w:p>
    <w:p w:rsidR="003D481A" w:rsidRPr="007D3A94" w:rsidRDefault="003D481A" w:rsidP="00CE7BDF">
      <w:pPr>
        <w:spacing w:before="260" w:line="360" w:lineRule="auto"/>
        <w:rPr>
          <w:sz w:val="11"/>
          <w:szCs w:val="24"/>
        </w:rPr>
      </w:pPr>
    </w:p>
    <w:sectPr w:rsidR="003D481A" w:rsidRPr="007D3A94">
      <w:footerReference w:type="even" r:id="rId16"/>
      <w:footerReference w:type="default" r:id="rId1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953542C" w15:done="0"/>
  <w15:commentEx w15:paraId="0FC96BCB" w15:done="0"/>
  <w15:commentEx w15:paraId="5F1E0E12" w15:done="0"/>
  <w15:commentEx w15:paraId="78742833" w15:done="0"/>
  <w15:commentEx w15:paraId="2B0C249E" w15:done="0"/>
  <w15:commentEx w15:paraId="5DD511F4" w15:done="0"/>
  <w15:commentEx w15:paraId="5A9F6AD4" w15:done="0"/>
  <w15:commentEx w15:paraId="127E2059" w15:done="0"/>
  <w15:commentEx w15:paraId="07CF0035" w15:done="0"/>
  <w15:commentEx w15:paraId="6D226732" w15:done="0"/>
  <w15:commentEx w15:paraId="0ECC1AF4" w15:done="0"/>
  <w15:commentEx w15:paraId="01D346CF" w15:done="0"/>
  <w15:commentEx w15:paraId="3A2D0E90" w15:done="0"/>
  <w15:commentEx w15:paraId="57D36048" w15:done="0"/>
  <w15:commentEx w15:paraId="19D937E6" w15:done="0"/>
  <w15:commentEx w15:paraId="1DC037E5" w15:done="0"/>
  <w15:commentEx w15:paraId="442B49F7" w15:done="0"/>
  <w15:commentEx w15:paraId="14815078" w15:done="0"/>
  <w15:commentEx w15:paraId="7B444087" w15:done="0"/>
  <w15:commentEx w15:paraId="765F590E" w15:done="0"/>
  <w15:commentEx w15:paraId="7F6116D4" w15:done="0"/>
  <w15:commentEx w15:paraId="7FBE3A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06" w:rsidRDefault="005F3506">
      <w:r>
        <w:separator/>
      </w:r>
    </w:p>
  </w:endnote>
  <w:endnote w:type="continuationSeparator" w:id="0">
    <w:p w:rsidR="005F3506" w:rsidRDefault="005F3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00"/>
    <w:family w:val="roman"/>
    <w:pitch w:val="default"/>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framePr w:wrap="around" w:vAnchor="text" w:hAnchor="margin" w:xAlign="center" w:y="1"/>
      <w:rPr>
        <w:rStyle w:val="ac"/>
      </w:rPr>
    </w:pPr>
    <w:r>
      <w:fldChar w:fldCharType="begin"/>
    </w:r>
    <w:r>
      <w:rPr>
        <w:rStyle w:val="ac"/>
      </w:rPr>
      <w:instrText xml:space="preserve">PAGE  </w:instrText>
    </w:r>
    <w:r>
      <w:fldChar w:fldCharType="end"/>
    </w:r>
  </w:p>
  <w:p w:rsidR="003D481A" w:rsidRDefault="003D481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framePr w:wrap="around" w:vAnchor="text" w:hAnchor="margin" w:xAlign="center" w:y="1"/>
      <w:rPr>
        <w:rStyle w:val="ac"/>
      </w:rPr>
    </w:pPr>
    <w:r>
      <w:fldChar w:fldCharType="begin"/>
    </w:r>
    <w:r>
      <w:rPr>
        <w:rStyle w:val="ac"/>
      </w:rPr>
      <w:instrText xml:space="preserve">PAGE  </w:instrText>
    </w:r>
    <w:r>
      <w:fldChar w:fldCharType="end"/>
    </w:r>
  </w:p>
  <w:p w:rsidR="003D481A" w:rsidRDefault="003D481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framePr w:wrap="around" w:vAnchor="text" w:hAnchor="margin" w:xAlign="center" w:y="1"/>
      <w:rPr>
        <w:rStyle w:val="ac"/>
      </w:rPr>
    </w:pPr>
    <w:r>
      <w:fldChar w:fldCharType="begin"/>
    </w:r>
    <w:r>
      <w:rPr>
        <w:rStyle w:val="ac"/>
      </w:rPr>
      <w:instrText xml:space="preserve">PAGE  </w:instrText>
    </w:r>
    <w:r>
      <w:fldChar w:fldCharType="end"/>
    </w:r>
  </w:p>
  <w:p w:rsidR="003D481A" w:rsidRDefault="003D481A">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framePr w:wrap="around" w:vAnchor="text" w:hAnchor="margin" w:xAlign="center" w:y="1"/>
      <w:rPr>
        <w:rStyle w:val="ac"/>
      </w:rPr>
    </w:pPr>
    <w:r>
      <w:fldChar w:fldCharType="begin"/>
    </w:r>
    <w:r>
      <w:rPr>
        <w:rStyle w:val="ac"/>
      </w:rPr>
      <w:instrText xml:space="preserve">PAGE  </w:instrText>
    </w:r>
    <w:r>
      <w:fldChar w:fldCharType="end"/>
    </w:r>
  </w:p>
  <w:p w:rsidR="003D481A" w:rsidRDefault="003D481A">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1A" w:rsidRDefault="003D481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06" w:rsidRDefault="005F3506">
      <w:r>
        <w:separator/>
      </w:r>
    </w:p>
  </w:footnote>
  <w:footnote w:type="continuationSeparator" w:id="0">
    <w:p w:rsidR="005F3506" w:rsidRDefault="005F3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D1CF92"/>
    <w:multiLevelType w:val="singleLevel"/>
    <w:tmpl w:val="CBD1CF92"/>
    <w:lvl w:ilvl="0">
      <w:start w:val="1"/>
      <w:numFmt w:val="decimal"/>
      <w:suff w:val="space"/>
      <w:lvlText w:val="%1."/>
      <w:lvlJc w:val="left"/>
    </w:lvl>
  </w:abstractNum>
  <w:abstractNum w:abstractNumId="1">
    <w:nsid w:val="00000009"/>
    <w:multiLevelType w:val="multilevel"/>
    <w:tmpl w:val="00000009"/>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B36605D"/>
    <w:multiLevelType w:val="multilevel"/>
    <w:tmpl w:val="2B36605D"/>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DE076D2"/>
    <w:multiLevelType w:val="multilevel"/>
    <w:tmpl w:val="3DE076D2"/>
    <w:lvl w:ilvl="0">
      <w:start w:val="2"/>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8325A5C"/>
    <w:multiLevelType w:val="multilevel"/>
    <w:tmpl w:val="48325A5C"/>
    <w:lvl w:ilvl="0">
      <w:start w:val="1"/>
      <w:numFmt w:val="japaneseCounting"/>
      <w:lvlText w:val="%1、"/>
      <w:lvlJc w:val="left"/>
      <w:pPr>
        <w:ind w:left="580" w:hanging="5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0A5D2C4"/>
    <w:multiLevelType w:val="singleLevel"/>
    <w:tmpl w:val="50A5D2C4"/>
    <w:lvl w:ilvl="0">
      <w:start w:val="1"/>
      <w:numFmt w:val="decimal"/>
      <w:suff w:val="space"/>
      <w:lvlText w:val="%1."/>
      <w:lvlJc w:val="left"/>
    </w:lvl>
  </w:abstractNum>
  <w:abstractNum w:abstractNumId="6">
    <w:nsid w:val="53B47A87"/>
    <w:multiLevelType w:val="multilevel"/>
    <w:tmpl w:val="53B47A8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618B4B7B"/>
    <w:multiLevelType w:val="multilevel"/>
    <w:tmpl w:val="618B4B7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4"/>
  </w:num>
  <w:num w:numId="2">
    <w:abstractNumId w:val="3"/>
  </w:num>
  <w:num w:numId="3">
    <w:abstractNumId w:val="1"/>
  </w:num>
  <w:num w:numId="4">
    <w:abstractNumId w:val="7"/>
  </w:num>
  <w:num w:numId="5">
    <w:abstractNumId w:val="6"/>
  </w:num>
  <w:num w:numId="6">
    <w:abstractNumId w:val="0"/>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en gongzhang">
    <w15:presenceInfo w15:providerId="Windows Live" w15:userId="f3eec058d758135c"/>
  </w15:person>
  <w15:person w15:author="shen gongzhang [2]">
    <w15:presenceInfo w15:providerId="None" w15:userId="shen gongzhang"/>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90"/>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1NDI3NTExMTA1NDRU0lEKTi0uzszPAykwqgUAOiwM9iwAAAA="/>
  </w:docVars>
  <w:rsids>
    <w:rsidRoot w:val="00B20190"/>
    <w:rsid w:val="000030F8"/>
    <w:rsid w:val="00007271"/>
    <w:rsid w:val="00043224"/>
    <w:rsid w:val="000507B3"/>
    <w:rsid w:val="00055F4A"/>
    <w:rsid w:val="00056D38"/>
    <w:rsid w:val="00063D5A"/>
    <w:rsid w:val="00071089"/>
    <w:rsid w:val="00072DC7"/>
    <w:rsid w:val="00091109"/>
    <w:rsid w:val="000C5A0C"/>
    <w:rsid w:val="000D69B2"/>
    <w:rsid w:val="001008F4"/>
    <w:rsid w:val="00102143"/>
    <w:rsid w:val="00102189"/>
    <w:rsid w:val="00110686"/>
    <w:rsid w:val="00152A26"/>
    <w:rsid w:val="00190594"/>
    <w:rsid w:val="0019169B"/>
    <w:rsid w:val="001E1A05"/>
    <w:rsid w:val="00203E6E"/>
    <w:rsid w:val="00211559"/>
    <w:rsid w:val="00214E0C"/>
    <w:rsid w:val="00215AFC"/>
    <w:rsid w:val="002332CB"/>
    <w:rsid w:val="00236A66"/>
    <w:rsid w:val="00262E0E"/>
    <w:rsid w:val="002666EF"/>
    <w:rsid w:val="002C7FC6"/>
    <w:rsid w:val="002E7AEE"/>
    <w:rsid w:val="002F1528"/>
    <w:rsid w:val="0032100C"/>
    <w:rsid w:val="003459D7"/>
    <w:rsid w:val="003515BC"/>
    <w:rsid w:val="0036518D"/>
    <w:rsid w:val="003B7877"/>
    <w:rsid w:val="003C0049"/>
    <w:rsid w:val="003D23F2"/>
    <w:rsid w:val="003D481A"/>
    <w:rsid w:val="003E1A20"/>
    <w:rsid w:val="003E221D"/>
    <w:rsid w:val="00412789"/>
    <w:rsid w:val="00416F39"/>
    <w:rsid w:val="004340D6"/>
    <w:rsid w:val="004344D1"/>
    <w:rsid w:val="004373B6"/>
    <w:rsid w:val="00450BD4"/>
    <w:rsid w:val="004737CA"/>
    <w:rsid w:val="004A2934"/>
    <w:rsid w:val="004A3306"/>
    <w:rsid w:val="004B27D6"/>
    <w:rsid w:val="004C2687"/>
    <w:rsid w:val="004D57E9"/>
    <w:rsid w:val="004D7004"/>
    <w:rsid w:val="004D778D"/>
    <w:rsid w:val="0053153B"/>
    <w:rsid w:val="0053653A"/>
    <w:rsid w:val="00587F2D"/>
    <w:rsid w:val="005973BC"/>
    <w:rsid w:val="005A1A33"/>
    <w:rsid w:val="005D3DB3"/>
    <w:rsid w:val="005D5643"/>
    <w:rsid w:val="005E5504"/>
    <w:rsid w:val="005F314D"/>
    <w:rsid w:val="005F3506"/>
    <w:rsid w:val="006028EF"/>
    <w:rsid w:val="00630A05"/>
    <w:rsid w:val="006340DD"/>
    <w:rsid w:val="00635AC3"/>
    <w:rsid w:val="006435B0"/>
    <w:rsid w:val="00651FE7"/>
    <w:rsid w:val="006545A5"/>
    <w:rsid w:val="00667481"/>
    <w:rsid w:val="00672A77"/>
    <w:rsid w:val="00684C7F"/>
    <w:rsid w:val="00686935"/>
    <w:rsid w:val="006A3573"/>
    <w:rsid w:val="006B1539"/>
    <w:rsid w:val="006C65E3"/>
    <w:rsid w:val="006F174B"/>
    <w:rsid w:val="006F6D7F"/>
    <w:rsid w:val="007039F6"/>
    <w:rsid w:val="0071103A"/>
    <w:rsid w:val="00730755"/>
    <w:rsid w:val="007834DA"/>
    <w:rsid w:val="0078638A"/>
    <w:rsid w:val="0078660D"/>
    <w:rsid w:val="00797E46"/>
    <w:rsid w:val="007A322E"/>
    <w:rsid w:val="007A5095"/>
    <w:rsid w:val="007D3A94"/>
    <w:rsid w:val="007D4ED2"/>
    <w:rsid w:val="007F5F18"/>
    <w:rsid w:val="007F6C82"/>
    <w:rsid w:val="00806DA0"/>
    <w:rsid w:val="008118D6"/>
    <w:rsid w:val="00813192"/>
    <w:rsid w:val="008338DC"/>
    <w:rsid w:val="00841003"/>
    <w:rsid w:val="00876F2A"/>
    <w:rsid w:val="008A33BF"/>
    <w:rsid w:val="008C16D8"/>
    <w:rsid w:val="008D460F"/>
    <w:rsid w:val="008E3BEF"/>
    <w:rsid w:val="00943CC2"/>
    <w:rsid w:val="009579DE"/>
    <w:rsid w:val="0097271C"/>
    <w:rsid w:val="009A58E6"/>
    <w:rsid w:val="009B4317"/>
    <w:rsid w:val="009B543D"/>
    <w:rsid w:val="009B57B6"/>
    <w:rsid w:val="009B66FE"/>
    <w:rsid w:val="009C6631"/>
    <w:rsid w:val="009D1571"/>
    <w:rsid w:val="009F249E"/>
    <w:rsid w:val="00A00323"/>
    <w:rsid w:val="00A2499A"/>
    <w:rsid w:val="00A31BB3"/>
    <w:rsid w:val="00A3205C"/>
    <w:rsid w:val="00A770A9"/>
    <w:rsid w:val="00A77250"/>
    <w:rsid w:val="00AB24F7"/>
    <w:rsid w:val="00AB3666"/>
    <w:rsid w:val="00AF4781"/>
    <w:rsid w:val="00B0735D"/>
    <w:rsid w:val="00B20190"/>
    <w:rsid w:val="00B7253C"/>
    <w:rsid w:val="00B84D15"/>
    <w:rsid w:val="00C42B75"/>
    <w:rsid w:val="00C53A5F"/>
    <w:rsid w:val="00C82B6C"/>
    <w:rsid w:val="00CA1A21"/>
    <w:rsid w:val="00CB0861"/>
    <w:rsid w:val="00CC3194"/>
    <w:rsid w:val="00CE7BDF"/>
    <w:rsid w:val="00CF62AB"/>
    <w:rsid w:val="00D072F4"/>
    <w:rsid w:val="00D12F2B"/>
    <w:rsid w:val="00D50180"/>
    <w:rsid w:val="00D73598"/>
    <w:rsid w:val="00D74D2E"/>
    <w:rsid w:val="00DA4AEF"/>
    <w:rsid w:val="00DC6B0E"/>
    <w:rsid w:val="00DD1186"/>
    <w:rsid w:val="00DE2E1C"/>
    <w:rsid w:val="00DE38D0"/>
    <w:rsid w:val="00DE588A"/>
    <w:rsid w:val="00DF1CE1"/>
    <w:rsid w:val="00E10BAD"/>
    <w:rsid w:val="00E12EF3"/>
    <w:rsid w:val="00E13247"/>
    <w:rsid w:val="00E16D4D"/>
    <w:rsid w:val="00E1724F"/>
    <w:rsid w:val="00E41FEB"/>
    <w:rsid w:val="00E66C14"/>
    <w:rsid w:val="00E67596"/>
    <w:rsid w:val="00E7651D"/>
    <w:rsid w:val="00E84B4F"/>
    <w:rsid w:val="00E876E3"/>
    <w:rsid w:val="00E9732E"/>
    <w:rsid w:val="00EB49AF"/>
    <w:rsid w:val="00EE264D"/>
    <w:rsid w:val="00EF4DB9"/>
    <w:rsid w:val="00F03063"/>
    <w:rsid w:val="00F32B81"/>
    <w:rsid w:val="00F343C0"/>
    <w:rsid w:val="00F364EC"/>
    <w:rsid w:val="00F76EF9"/>
    <w:rsid w:val="00FE521B"/>
    <w:rsid w:val="00FE71C7"/>
    <w:rsid w:val="00FF4C5F"/>
    <w:rsid w:val="188F6660"/>
    <w:rsid w:val="24913455"/>
    <w:rsid w:val="5A0D6861"/>
    <w:rsid w:val="724C6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18"/>
      <w:szCs w:val="18"/>
    </w:rPr>
  </w:style>
  <w:style w:type="paragraph" w:styleId="1">
    <w:name w:val="heading 1"/>
    <w:basedOn w:val="a"/>
    <w:next w:val="a"/>
    <w:link w:val="1Char"/>
    <w:qFormat/>
    <w:pPr>
      <w:keepNext/>
      <w:keepLines/>
      <w:spacing w:before="340" w:after="330" w:line="576" w:lineRule="auto"/>
      <w:outlineLvl w:val="0"/>
    </w:pPr>
    <w:rPr>
      <w:rFonts w:cs="Times New Roman"/>
      <w:b/>
      <w:kern w:val="44"/>
      <w:sz w:val="44"/>
      <w:szCs w:val="20"/>
    </w:rPr>
  </w:style>
  <w:style w:type="paragraph" w:styleId="2">
    <w:name w:val="heading 2"/>
    <w:basedOn w:val="a"/>
    <w:next w:val="a"/>
    <w:link w:val="2Char"/>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cs="Times New Roman"/>
      <w:b/>
      <w:kern w:val="18"/>
      <w:sz w:val="24"/>
      <w:szCs w:val="20"/>
      <w:lang w:val="en-AU" w:eastAsia="en-US"/>
    </w:rPr>
  </w:style>
  <w:style w:type="paragraph" w:styleId="3">
    <w:name w:val="heading 3"/>
    <w:basedOn w:val="a"/>
    <w:next w:val="a"/>
    <w:link w:val="3Char"/>
    <w:qFormat/>
    <w:pPr>
      <w:keepNext/>
      <w:keepLines/>
      <w:spacing w:before="260" w:after="260" w:line="413" w:lineRule="auto"/>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cs="Times New Roman"/>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qFormat/>
    <w:pPr>
      <w:ind w:leftChars="2500" w:left="100"/>
    </w:pPr>
    <w:rPr>
      <w:rFonts w:cs="Times New Roman"/>
      <w:sz w:val="21"/>
      <w:szCs w:val="20"/>
    </w:rPr>
  </w:style>
  <w:style w:type="paragraph" w:styleId="a6">
    <w:name w:val="Balloon Text"/>
    <w:basedOn w:val="a"/>
    <w:link w:val="Char2"/>
    <w:uiPriority w:val="99"/>
    <w:semiHidden/>
    <w:unhideWhenUsed/>
    <w:qFormat/>
  </w:style>
  <w:style w:type="paragraph" w:styleId="a7">
    <w:name w:val="footer"/>
    <w:basedOn w:val="a"/>
    <w:link w:val="Char3"/>
    <w:uiPriority w:val="99"/>
    <w:unhideWhenUsed/>
    <w:qFormat/>
    <w:pPr>
      <w:tabs>
        <w:tab w:val="center" w:pos="4153"/>
        <w:tab w:val="right" w:pos="8306"/>
      </w:tabs>
      <w:snapToGrid w:val="0"/>
      <w:jc w:val="left"/>
    </w:p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style>
  <w:style w:type="paragraph" w:styleId="a9">
    <w:name w:val="footnote text"/>
    <w:basedOn w:val="a"/>
    <w:link w:val="Char5"/>
    <w:uiPriority w:val="99"/>
    <w:semiHidden/>
    <w:unhideWhenUsed/>
    <w:qFormat/>
    <w:pPr>
      <w:snapToGrid w:val="0"/>
      <w:jc w:val="left"/>
    </w:pPr>
    <w:rPr>
      <w:rFonts w:cs="Times New Roman"/>
      <w:szCs w:val="20"/>
    </w:rPr>
  </w:style>
  <w:style w:type="paragraph" w:styleId="aa">
    <w:name w:val="Title"/>
    <w:basedOn w:val="a"/>
    <w:next w:val="a"/>
    <w:link w:val="Char6"/>
    <w:qFormat/>
    <w:pPr>
      <w:spacing w:before="240" w:after="60"/>
      <w:jc w:val="center"/>
      <w:outlineLvl w:val="0"/>
    </w:pPr>
    <w:rPr>
      <w:rFonts w:ascii="Cambria" w:hAnsi="Cambria" w:cs="Times New Roman"/>
      <w:b/>
      <w:bCs/>
      <w:sz w:val="32"/>
      <w:szCs w:val="32"/>
    </w:rPr>
  </w:style>
  <w:style w:type="paragraph" w:styleId="ab">
    <w:name w:val="annotation subject"/>
    <w:basedOn w:val="a4"/>
    <w:next w:val="a4"/>
    <w:link w:val="Char7"/>
    <w:uiPriority w:val="99"/>
    <w:semiHidden/>
    <w:unhideWhenUsed/>
    <w:qFormat/>
    <w:rPr>
      <w:b/>
      <w:bCs/>
    </w:rPr>
  </w:style>
  <w:style w:type="character" w:styleId="ac">
    <w:name w:val="page number"/>
    <w:basedOn w:val="a0"/>
    <w:qFormat/>
  </w:style>
  <w:style w:type="character" w:styleId="ad">
    <w:name w:val="FollowedHyperlink"/>
    <w:basedOn w:val="a0"/>
    <w:uiPriority w:val="99"/>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qFormat/>
    <w:rPr>
      <w:sz w:val="21"/>
      <w:szCs w:val="21"/>
    </w:rPr>
  </w:style>
  <w:style w:type="character" w:styleId="af0">
    <w:name w:val="footnote reference"/>
    <w:basedOn w:val="a0"/>
    <w:uiPriority w:val="99"/>
    <w:semiHidden/>
    <w:unhideWhenUsed/>
    <w:qFormat/>
    <w:rPr>
      <w:vertAlign w:val="superscript"/>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character" w:customStyle="1" w:styleId="fontstyle01">
    <w:name w:val="fontstyle01"/>
    <w:basedOn w:val="a0"/>
    <w:qFormat/>
    <w:rPr>
      <w:rFonts w:ascii="黑体" w:eastAsia="黑体" w:hAnsi="黑体" w:hint="eastAsia"/>
      <w:color w:val="000000"/>
      <w:sz w:val="44"/>
      <w:szCs w:val="44"/>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fontstyle31">
    <w:name w:val="fontstyle31"/>
    <w:basedOn w:val="a0"/>
    <w:qFormat/>
    <w:rPr>
      <w:rFonts w:ascii="TimesNewRomanPSMT" w:hAnsi="TimesNewRomanPSMT" w:hint="default"/>
      <w:color w:val="000000"/>
      <w:sz w:val="24"/>
      <w:szCs w:val="24"/>
    </w:rPr>
  </w:style>
  <w:style w:type="character" w:customStyle="1" w:styleId="fontstyle41">
    <w:name w:val="fontstyle41"/>
    <w:basedOn w:val="a0"/>
    <w:qFormat/>
    <w:rPr>
      <w:rFonts w:ascii="Calibri" w:hAnsi="Calibri" w:cs="Calibri" w:hint="default"/>
      <w:color w:val="000000"/>
      <w:sz w:val="18"/>
      <w:szCs w:val="18"/>
    </w:rPr>
  </w:style>
  <w:style w:type="character" w:customStyle="1" w:styleId="fontstyle51">
    <w:name w:val="fontstyle51"/>
    <w:basedOn w:val="a0"/>
    <w:qFormat/>
    <w:rPr>
      <w:rFonts w:ascii="TimesNewRomanPS-BoldMT" w:hAnsi="TimesNewRomanPS-BoldMT" w:hint="default"/>
      <w:b/>
      <w:bCs/>
      <w:color w:val="000000"/>
      <w:sz w:val="24"/>
      <w:szCs w:val="24"/>
    </w:rPr>
  </w:style>
  <w:style w:type="paragraph" w:styleId="af1">
    <w:name w:val="List Paragraph"/>
    <w:basedOn w:val="a"/>
    <w:uiPriority w:val="34"/>
    <w:qFormat/>
    <w:pPr>
      <w:ind w:firstLineChars="200" w:firstLine="420"/>
    </w:pPr>
  </w:style>
  <w:style w:type="character" w:customStyle="1" w:styleId="Char2">
    <w:name w:val="批注框文本 Char"/>
    <w:basedOn w:val="a0"/>
    <w:link w:val="a6"/>
    <w:uiPriority w:val="99"/>
    <w:semiHidden/>
    <w:qFormat/>
  </w:style>
  <w:style w:type="character" w:customStyle="1" w:styleId="1Char">
    <w:name w:val="标题 1 Char"/>
    <w:basedOn w:val="a0"/>
    <w:link w:val="1"/>
    <w:qFormat/>
    <w:rPr>
      <w:rFonts w:cs="Times New Roman"/>
      <w:b/>
      <w:kern w:val="44"/>
      <w:sz w:val="44"/>
      <w:szCs w:val="20"/>
    </w:rPr>
  </w:style>
  <w:style w:type="character" w:customStyle="1" w:styleId="2Char">
    <w:name w:val="标题 2 Char"/>
    <w:basedOn w:val="a0"/>
    <w:link w:val="2"/>
    <w:qFormat/>
    <w:rPr>
      <w:rFonts w:cs="Times New Roman"/>
      <w:b/>
      <w:kern w:val="18"/>
      <w:sz w:val="24"/>
      <w:szCs w:val="20"/>
      <w:lang w:val="en-AU" w:eastAsia="en-US"/>
    </w:rPr>
  </w:style>
  <w:style w:type="character" w:customStyle="1" w:styleId="3Char">
    <w:name w:val="标题 3 Char"/>
    <w:basedOn w:val="a0"/>
    <w:link w:val="3"/>
    <w:qFormat/>
    <w:rPr>
      <w:rFonts w:cs="Times New Roman"/>
      <w:b/>
      <w:sz w:val="32"/>
      <w:szCs w:val="20"/>
    </w:rPr>
  </w:style>
  <w:style w:type="character" w:customStyle="1" w:styleId="Char">
    <w:name w:val="文档结构图 Char"/>
    <w:basedOn w:val="a0"/>
    <w:link w:val="a3"/>
    <w:uiPriority w:val="99"/>
    <w:qFormat/>
    <w:rPr>
      <w:rFonts w:ascii="宋体" w:cs="Times New Roman"/>
    </w:rPr>
  </w:style>
  <w:style w:type="character" w:customStyle="1" w:styleId="Char1">
    <w:name w:val="日期 Char"/>
    <w:basedOn w:val="a0"/>
    <w:link w:val="a5"/>
    <w:uiPriority w:val="99"/>
    <w:semiHidden/>
    <w:qFormat/>
    <w:rPr>
      <w:rFonts w:cs="Times New Roman"/>
      <w:sz w:val="21"/>
      <w:szCs w:val="20"/>
    </w:rPr>
  </w:style>
  <w:style w:type="character" w:customStyle="1" w:styleId="Char5">
    <w:name w:val="脚注文本 Char"/>
    <w:basedOn w:val="a0"/>
    <w:link w:val="a9"/>
    <w:uiPriority w:val="99"/>
    <w:semiHidden/>
    <w:qFormat/>
    <w:rPr>
      <w:rFonts w:cs="Times New Roman"/>
      <w:szCs w:val="20"/>
    </w:rPr>
  </w:style>
  <w:style w:type="paragraph" w:customStyle="1" w:styleId="TOC21">
    <w:name w:val="TOC 21"/>
    <w:basedOn w:val="a"/>
    <w:next w:val="a"/>
    <w:uiPriority w:val="39"/>
    <w:qFormat/>
    <w:pPr>
      <w:tabs>
        <w:tab w:val="left" w:pos="1230"/>
        <w:tab w:val="right" w:leader="dot" w:pos="8296"/>
      </w:tabs>
      <w:spacing w:line="360" w:lineRule="auto"/>
      <w:ind w:leftChars="200" w:left="420"/>
      <w:jc w:val="center"/>
    </w:pPr>
    <w:rPr>
      <w:rFonts w:ascii="宋体" w:hAnsi="宋体" w:cs="Times New Roman"/>
      <w:b/>
      <w:sz w:val="28"/>
      <w:szCs w:val="28"/>
    </w:rPr>
  </w:style>
  <w:style w:type="character" w:customStyle="1" w:styleId="Char6">
    <w:name w:val="标题 Char"/>
    <w:basedOn w:val="a0"/>
    <w:link w:val="aa"/>
    <w:qFormat/>
    <w:rPr>
      <w:rFonts w:ascii="Cambria" w:hAnsi="Cambria" w:cs="Times New Roman"/>
      <w:b/>
      <w:bCs/>
      <w:sz w:val="32"/>
      <w:szCs w:val="32"/>
    </w:rPr>
  </w:style>
  <w:style w:type="paragraph" w:customStyle="1" w:styleId="font5">
    <w:name w:val="font5"/>
    <w:basedOn w:val="a"/>
    <w:qFormat/>
    <w:pPr>
      <w:widowControl/>
      <w:spacing w:before="100" w:beforeAutospacing="1" w:after="100" w:afterAutospacing="1"/>
      <w:jc w:val="left"/>
    </w:pPr>
    <w:rPr>
      <w:rFonts w:ascii="宋体" w:hAnsi="宋体" w:cs="宋体"/>
      <w:kern w:val="0"/>
    </w:rPr>
  </w:style>
  <w:style w:type="paragraph" w:customStyle="1" w:styleId="font6">
    <w:name w:val="font6"/>
    <w:basedOn w:val="a"/>
    <w:qFormat/>
    <w:pPr>
      <w:widowControl/>
      <w:spacing w:before="100" w:beforeAutospacing="1" w:after="100" w:afterAutospacing="1"/>
      <w:jc w:val="left"/>
    </w:pPr>
    <w:rPr>
      <w:rFonts w:ascii="宋体" w:hAnsi="宋体" w:cs="宋体"/>
      <w:kern w:val="0"/>
    </w:rPr>
  </w:style>
  <w:style w:type="paragraph" w:customStyle="1" w:styleId="font7">
    <w:name w:val="font7"/>
    <w:basedOn w:val="a"/>
    <w:qFormat/>
    <w:pPr>
      <w:widowControl/>
      <w:spacing w:before="100" w:beforeAutospacing="1" w:after="100" w:afterAutospacing="1"/>
      <w:jc w:val="left"/>
    </w:pPr>
    <w:rPr>
      <w:rFonts w:ascii="宋体" w:hAnsi="宋体" w:cs="宋体"/>
      <w:kern w:val="0"/>
    </w:rPr>
  </w:style>
  <w:style w:type="paragraph" w:customStyle="1" w:styleId="font8">
    <w:name w:val="font8"/>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101">
    <w:name w:val="font101"/>
    <w:basedOn w:val="a0"/>
    <w:qFormat/>
    <w:rPr>
      <w:rFonts w:ascii="微软雅黑" w:eastAsia="微软雅黑" w:hAnsi="微软雅黑" w:cs="微软雅黑"/>
      <w:color w:val="000000"/>
      <w:sz w:val="24"/>
      <w:szCs w:val="24"/>
      <w:u w:val="none"/>
    </w:rPr>
  </w:style>
  <w:style w:type="character" w:customStyle="1" w:styleId="Char0">
    <w:name w:val="批注文字 Char"/>
    <w:basedOn w:val="a0"/>
    <w:link w:val="a4"/>
    <w:uiPriority w:val="99"/>
    <w:semiHidden/>
    <w:qFormat/>
    <w:rPr>
      <w:kern w:val="2"/>
      <w:sz w:val="18"/>
      <w:szCs w:val="18"/>
    </w:rPr>
  </w:style>
  <w:style w:type="character" w:customStyle="1" w:styleId="Char7">
    <w:name w:val="批注主题 Char"/>
    <w:basedOn w:val="Char0"/>
    <w:link w:val="ab"/>
    <w:uiPriority w:val="99"/>
    <w:semiHidden/>
    <w:qFormat/>
    <w:rPr>
      <w:b/>
      <w:bCs/>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Date"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kern w:val="2"/>
      <w:sz w:val="18"/>
      <w:szCs w:val="18"/>
    </w:rPr>
  </w:style>
  <w:style w:type="paragraph" w:styleId="1">
    <w:name w:val="heading 1"/>
    <w:basedOn w:val="a"/>
    <w:next w:val="a"/>
    <w:link w:val="1Char"/>
    <w:qFormat/>
    <w:pPr>
      <w:keepNext/>
      <w:keepLines/>
      <w:spacing w:before="340" w:after="330" w:line="576" w:lineRule="auto"/>
      <w:outlineLvl w:val="0"/>
    </w:pPr>
    <w:rPr>
      <w:rFonts w:cs="Times New Roman"/>
      <w:b/>
      <w:kern w:val="44"/>
      <w:sz w:val="44"/>
      <w:szCs w:val="20"/>
    </w:rPr>
  </w:style>
  <w:style w:type="paragraph" w:styleId="2">
    <w:name w:val="heading 2"/>
    <w:basedOn w:val="a"/>
    <w:next w:val="a"/>
    <w:link w:val="2Char"/>
    <w:qFormat/>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120"/>
      <w:ind w:left="576" w:hanging="576"/>
      <w:jc w:val="left"/>
      <w:outlineLvl w:val="1"/>
    </w:pPr>
    <w:rPr>
      <w:rFonts w:cs="Times New Roman"/>
      <w:b/>
      <w:kern w:val="18"/>
      <w:sz w:val="24"/>
      <w:szCs w:val="20"/>
      <w:lang w:val="en-AU" w:eastAsia="en-US"/>
    </w:rPr>
  </w:style>
  <w:style w:type="paragraph" w:styleId="3">
    <w:name w:val="heading 3"/>
    <w:basedOn w:val="a"/>
    <w:next w:val="a"/>
    <w:link w:val="3Char"/>
    <w:qFormat/>
    <w:pPr>
      <w:keepNext/>
      <w:keepLines/>
      <w:spacing w:before="260" w:after="260" w:line="413" w:lineRule="auto"/>
      <w:outlineLvl w:val="2"/>
    </w:pPr>
    <w:rPr>
      <w:rFont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Pr>
      <w:rFonts w:ascii="宋体" w:cs="Times New Roman"/>
    </w:rPr>
  </w:style>
  <w:style w:type="paragraph" w:styleId="a4">
    <w:name w:val="annotation text"/>
    <w:basedOn w:val="a"/>
    <w:link w:val="Char0"/>
    <w:uiPriority w:val="99"/>
    <w:semiHidden/>
    <w:unhideWhenUsed/>
    <w:qFormat/>
    <w:pPr>
      <w:jc w:val="left"/>
    </w:pPr>
  </w:style>
  <w:style w:type="paragraph" w:styleId="a5">
    <w:name w:val="Date"/>
    <w:basedOn w:val="a"/>
    <w:next w:val="a"/>
    <w:link w:val="Char1"/>
    <w:uiPriority w:val="99"/>
    <w:semiHidden/>
    <w:unhideWhenUsed/>
    <w:qFormat/>
    <w:pPr>
      <w:ind w:leftChars="2500" w:left="100"/>
    </w:pPr>
    <w:rPr>
      <w:rFonts w:cs="Times New Roman"/>
      <w:sz w:val="21"/>
      <w:szCs w:val="20"/>
    </w:rPr>
  </w:style>
  <w:style w:type="paragraph" w:styleId="a6">
    <w:name w:val="Balloon Text"/>
    <w:basedOn w:val="a"/>
    <w:link w:val="Char2"/>
    <w:uiPriority w:val="99"/>
    <w:semiHidden/>
    <w:unhideWhenUsed/>
    <w:qFormat/>
  </w:style>
  <w:style w:type="paragraph" w:styleId="a7">
    <w:name w:val="footer"/>
    <w:basedOn w:val="a"/>
    <w:link w:val="Char3"/>
    <w:uiPriority w:val="99"/>
    <w:unhideWhenUsed/>
    <w:qFormat/>
    <w:pPr>
      <w:tabs>
        <w:tab w:val="center" w:pos="4153"/>
        <w:tab w:val="right" w:pos="8306"/>
      </w:tabs>
      <w:snapToGrid w:val="0"/>
      <w:jc w:val="left"/>
    </w:p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style>
  <w:style w:type="paragraph" w:styleId="a9">
    <w:name w:val="footnote text"/>
    <w:basedOn w:val="a"/>
    <w:link w:val="Char5"/>
    <w:uiPriority w:val="99"/>
    <w:semiHidden/>
    <w:unhideWhenUsed/>
    <w:qFormat/>
    <w:pPr>
      <w:snapToGrid w:val="0"/>
      <w:jc w:val="left"/>
    </w:pPr>
    <w:rPr>
      <w:rFonts w:cs="Times New Roman"/>
      <w:szCs w:val="20"/>
    </w:rPr>
  </w:style>
  <w:style w:type="paragraph" w:styleId="aa">
    <w:name w:val="Title"/>
    <w:basedOn w:val="a"/>
    <w:next w:val="a"/>
    <w:link w:val="Char6"/>
    <w:qFormat/>
    <w:pPr>
      <w:spacing w:before="240" w:after="60"/>
      <w:jc w:val="center"/>
      <w:outlineLvl w:val="0"/>
    </w:pPr>
    <w:rPr>
      <w:rFonts w:ascii="Cambria" w:hAnsi="Cambria" w:cs="Times New Roman"/>
      <w:b/>
      <w:bCs/>
      <w:sz w:val="32"/>
      <w:szCs w:val="32"/>
    </w:rPr>
  </w:style>
  <w:style w:type="paragraph" w:styleId="ab">
    <w:name w:val="annotation subject"/>
    <w:basedOn w:val="a4"/>
    <w:next w:val="a4"/>
    <w:link w:val="Char7"/>
    <w:uiPriority w:val="99"/>
    <w:semiHidden/>
    <w:unhideWhenUsed/>
    <w:qFormat/>
    <w:rPr>
      <w:b/>
      <w:bCs/>
    </w:rPr>
  </w:style>
  <w:style w:type="character" w:styleId="ac">
    <w:name w:val="page number"/>
    <w:basedOn w:val="a0"/>
    <w:qFormat/>
  </w:style>
  <w:style w:type="character" w:styleId="ad">
    <w:name w:val="FollowedHyperlink"/>
    <w:basedOn w:val="a0"/>
    <w:uiPriority w:val="99"/>
    <w:unhideWhenUsed/>
    <w:qFormat/>
    <w:rPr>
      <w:color w:val="800080"/>
      <w:u w:val="single"/>
    </w:rPr>
  </w:style>
  <w:style w:type="character" w:styleId="ae">
    <w:name w:val="Hyperlink"/>
    <w:basedOn w:val="a0"/>
    <w:uiPriority w:val="99"/>
    <w:unhideWhenUsed/>
    <w:qFormat/>
    <w:rPr>
      <w:color w:val="0000FF"/>
      <w:u w:val="single"/>
    </w:rPr>
  </w:style>
  <w:style w:type="character" w:styleId="af">
    <w:name w:val="annotation reference"/>
    <w:basedOn w:val="a0"/>
    <w:uiPriority w:val="99"/>
    <w:semiHidden/>
    <w:unhideWhenUsed/>
    <w:qFormat/>
    <w:rPr>
      <w:sz w:val="21"/>
      <w:szCs w:val="21"/>
    </w:rPr>
  </w:style>
  <w:style w:type="character" w:styleId="af0">
    <w:name w:val="footnote reference"/>
    <w:basedOn w:val="a0"/>
    <w:uiPriority w:val="99"/>
    <w:semiHidden/>
    <w:unhideWhenUsed/>
    <w:qFormat/>
    <w:rPr>
      <w:vertAlign w:val="superscript"/>
    </w:rPr>
  </w:style>
  <w:style w:type="character" w:customStyle="1" w:styleId="Char4">
    <w:name w:val="页眉 Char"/>
    <w:basedOn w:val="a0"/>
    <w:link w:val="a8"/>
    <w:uiPriority w:val="99"/>
    <w:qFormat/>
  </w:style>
  <w:style w:type="character" w:customStyle="1" w:styleId="Char3">
    <w:name w:val="页脚 Char"/>
    <w:basedOn w:val="a0"/>
    <w:link w:val="a7"/>
    <w:uiPriority w:val="99"/>
    <w:qFormat/>
  </w:style>
  <w:style w:type="character" w:customStyle="1" w:styleId="fontstyle01">
    <w:name w:val="fontstyle01"/>
    <w:basedOn w:val="a0"/>
    <w:qFormat/>
    <w:rPr>
      <w:rFonts w:ascii="黑体" w:eastAsia="黑体" w:hAnsi="黑体" w:hint="eastAsia"/>
      <w:color w:val="000000"/>
      <w:sz w:val="44"/>
      <w:szCs w:val="44"/>
    </w:rPr>
  </w:style>
  <w:style w:type="character" w:customStyle="1" w:styleId="fontstyle11">
    <w:name w:val="fontstyle11"/>
    <w:basedOn w:val="a0"/>
    <w:qFormat/>
    <w:rPr>
      <w:rFonts w:ascii="宋体" w:eastAsia="宋体" w:hAnsi="宋体" w:hint="eastAsia"/>
      <w:color w:val="000000"/>
      <w:sz w:val="24"/>
      <w:szCs w:val="24"/>
    </w:rPr>
  </w:style>
  <w:style w:type="character" w:customStyle="1" w:styleId="fontstyle31">
    <w:name w:val="fontstyle31"/>
    <w:basedOn w:val="a0"/>
    <w:qFormat/>
    <w:rPr>
      <w:rFonts w:ascii="TimesNewRomanPSMT" w:hAnsi="TimesNewRomanPSMT" w:hint="default"/>
      <w:color w:val="000000"/>
      <w:sz w:val="24"/>
      <w:szCs w:val="24"/>
    </w:rPr>
  </w:style>
  <w:style w:type="character" w:customStyle="1" w:styleId="fontstyle41">
    <w:name w:val="fontstyle41"/>
    <w:basedOn w:val="a0"/>
    <w:qFormat/>
    <w:rPr>
      <w:rFonts w:ascii="Calibri" w:hAnsi="Calibri" w:cs="Calibri" w:hint="default"/>
      <w:color w:val="000000"/>
      <w:sz w:val="18"/>
      <w:szCs w:val="18"/>
    </w:rPr>
  </w:style>
  <w:style w:type="character" w:customStyle="1" w:styleId="fontstyle51">
    <w:name w:val="fontstyle51"/>
    <w:basedOn w:val="a0"/>
    <w:qFormat/>
    <w:rPr>
      <w:rFonts w:ascii="TimesNewRomanPS-BoldMT" w:hAnsi="TimesNewRomanPS-BoldMT" w:hint="default"/>
      <w:b/>
      <w:bCs/>
      <w:color w:val="000000"/>
      <w:sz w:val="24"/>
      <w:szCs w:val="24"/>
    </w:rPr>
  </w:style>
  <w:style w:type="paragraph" w:styleId="af1">
    <w:name w:val="List Paragraph"/>
    <w:basedOn w:val="a"/>
    <w:uiPriority w:val="34"/>
    <w:qFormat/>
    <w:pPr>
      <w:ind w:firstLineChars="200" w:firstLine="420"/>
    </w:pPr>
  </w:style>
  <w:style w:type="character" w:customStyle="1" w:styleId="Char2">
    <w:name w:val="批注框文本 Char"/>
    <w:basedOn w:val="a0"/>
    <w:link w:val="a6"/>
    <w:uiPriority w:val="99"/>
    <w:semiHidden/>
    <w:qFormat/>
  </w:style>
  <w:style w:type="character" w:customStyle="1" w:styleId="1Char">
    <w:name w:val="标题 1 Char"/>
    <w:basedOn w:val="a0"/>
    <w:link w:val="1"/>
    <w:qFormat/>
    <w:rPr>
      <w:rFonts w:cs="Times New Roman"/>
      <w:b/>
      <w:kern w:val="44"/>
      <w:sz w:val="44"/>
      <w:szCs w:val="20"/>
    </w:rPr>
  </w:style>
  <w:style w:type="character" w:customStyle="1" w:styleId="2Char">
    <w:name w:val="标题 2 Char"/>
    <w:basedOn w:val="a0"/>
    <w:link w:val="2"/>
    <w:qFormat/>
    <w:rPr>
      <w:rFonts w:cs="Times New Roman"/>
      <w:b/>
      <w:kern w:val="18"/>
      <w:sz w:val="24"/>
      <w:szCs w:val="20"/>
      <w:lang w:val="en-AU" w:eastAsia="en-US"/>
    </w:rPr>
  </w:style>
  <w:style w:type="character" w:customStyle="1" w:styleId="3Char">
    <w:name w:val="标题 3 Char"/>
    <w:basedOn w:val="a0"/>
    <w:link w:val="3"/>
    <w:qFormat/>
    <w:rPr>
      <w:rFonts w:cs="Times New Roman"/>
      <w:b/>
      <w:sz w:val="32"/>
      <w:szCs w:val="20"/>
    </w:rPr>
  </w:style>
  <w:style w:type="character" w:customStyle="1" w:styleId="Char">
    <w:name w:val="文档结构图 Char"/>
    <w:basedOn w:val="a0"/>
    <w:link w:val="a3"/>
    <w:uiPriority w:val="99"/>
    <w:qFormat/>
    <w:rPr>
      <w:rFonts w:ascii="宋体" w:cs="Times New Roman"/>
    </w:rPr>
  </w:style>
  <w:style w:type="character" w:customStyle="1" w:styleId="Char1">
    <w:name w:val="日期 Char"/>
    <w:basedOn w:val="a0"/>
    <w:link w:val="a5"/>
    <w:uiPriority w:val="99"/>
    <w:semiHidden/>
    <w:qFormat/>
    <w:rPr>
      <w:rFonts w:cs="Times New Roman"/>
      <w:sz w:val="21"/>
      <w:szCs w:val="20"/>
    </w:rPr>
  </w:style>
  <w:style w:type="character" w:customStyle="1" w:styleId="Char5">
    <w:name w:val="脚注文本 Char"/>
    <w:basedOn w:val="a0"/>
    <w:link w:val="a9"/>
    <w:uiPriority w:val="99"/>
    <w:semiHidden/>
    <w:qFormat/>
    <w:rPr>
      <w:rFonts w:cs="Times New Roman"/>
      <w:szCs w:val="20"/>
    </w:rPr>
  </w:style>
  <w:style w:type="paragraph" w:customStyle="1" w:styleId="TOC21">
    <w:name w:val="TOC 21"/>
    <w:basedOn w:val="a"/>
    <w:next w:val="a"/>
    <w:uiPriority w:val="39"/>
    <w:qFormat/>
    <w:pPr>
      <w:tabs>
        <w:tab w:val="left" w:pos="1230"/>
        <w:tab w:val="right" w:leader="dot" w:pos="8296"/>
      </w:tabs>
      <w:spacing w:line="360" w:lineRule="auto"/>
      <w:ind w:leftChars="200" w:left="420"/>
      <w:jc w:val="center"/>
    </w:pPr>
    <w:rPr>
      <w:rFonts w:ascii="宋体" w:hAnsi="宋体" w:cs="Times New Roman"/>
      <w:b/>
      <w:sz w:val="28"/>
      <w:szCs w:val="28"/>
    </w:rPr>
  </w:style>
  <w:style w:type="character" w:customStyle="1" w:styleId="Char6">
    <w:name w:val="标题 Char"/>
    <w:basedOn w:val="a0"/>
    <w:link w:val="aa"/>
    <w:qFormat/>
    <w:rPr>
      <w:rFonts w:ascii="Cambria" w:hAnsi="Cambria" w:cs="Times New Roman"/>
      <w:b/>
      <w:bCs/>
      <w:sz w:val="32"/>
      <w:szCs w:val="32"/>
    </w:rPr>
  </w:style>
  <w:style w:type="paragraph" w:customStyle="1" w:styleId="font5">
    <w:name w:val="font5"/>
    <w:basedOn w:val="a"/>
    <w:qFormat/>
    <w:pPr>
      <w:widowControl/>
      <w:spacing w:before="100" w:beforeAutospacing="1" w:after="100" w:afterAutospacing="1"/>
      <w:jc w:val="left"/>
    </w:pPr>
    <w:rPr>
      <w:rFonts w:ascii="宋体" w:hAnsi="宋体" w:cs="宋体"/>
      <w:kern w:val="0"/>
    </w:rPr>
  </w:style>
  <w:style w:type="paragraph" w:customStyle="1" w:styleId="font6">
    <w:name w:val="font6"/>
    <w:basedOn w:val="a"/>
    <w:qFormat/>
    <w:pPr>
      <w:widowControl/>
      <w:spacing w:before="100" w:beforeAutospacing="1" w:after="100" w:afterAutospacing="1"/>
      <w:jc w:val="left"/>
    </w:pPr>
    <w:rPr>
      <w:rFonts w:ascii="宋体" w:hAnsi="宋体" w:cs="宋体"/>
      <w:kern w:val="0"/>
    </w:rPr>
  </w:style>
  <w:style w:type="paragraph" w:customStyle="1" w:styleId="font7">
    <w:name w:val="font7"/>
    <w:basedOn w:val="a"/>
    <w:qFormat/>
    <w:pPr>
      <w:widowControl/>
      <w:spacing w:before="100" w:beforeAutospacing="1" w:after="100" w:afterAutospacing="1"/>
      <w:jc w:val="left"/>
    </w:pPr>
    <w:rPr>
      <w:rFonts w:ascii="宋体" w:hAnsi="宋体" w:cs="宋体"/>
      <w:kern w:val="0"/>
    </w:rPr>
  </w:style>
  <w:style w:type="paragraph" w:customStyle="1" w:styleId="font8">
    <w:name w:val="font8"/>
    <w:basedOn w:val="a"/>
    <w:qFormat/>
    <w:pPr>
      <w:widowControl/>
      <w:spacing w:before="100" w:beforeAutospacing="1" w:after="100" w:afterAutospacing="1"/>
      <w:jc w:val="left"/>
    </w:pPr>
    <w:rPr>
      <w:rFonts w:ascii="宋体" w:hAnsi="宋体" w:cs="宋体"/>
      <w:b/>
      <w:bCs/>
      <w:color w:val="000000"/>
      <w:kern w:val="0"/>
      <w:sz w:val="22"/>
      <w:szCs w:val="22"/>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4">
    <w:name w:val="xl74"/>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5">
    <w:name w:val="xl75"/>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71">
    <w:name w:val="font7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101">
    <w:name w:val="font101"/>
    <w:basedOn w:val="a0"/>
    <w:qFormat/>
    <w:rPr>
      <w:rFonts w:ascii="微软雅黑" w:eastAsia="微软雅黑" w:hAnsi="微软雅黑" w:cs="微软雅黑"/>
      <w:color w:val="000000"/>
      <w:sz w:val="24"/>
      <w:szCs w:val="24"/>
      <w:u w:val="none"/>
    </w:rPr>
  </w:style>
  <w:style w:type="character" w:customStyle="1" w:styleId="Char0">
    <w:name w:val="批注文字 Char"/>
    <w:basedOn w:val="a0"/>
    <w:link w:val="a4"/>
    <w:uiPriority w:val="99"/>
    <w:semiHidden/>
    <w:qFormat/>
    <w:rPr>
      <w:kern w:val="2"/>
      <w:sz w:val="18"/>
      <w:szCs w:val="18"/>
    </w:rPr>
  </w:style>
  <w:style w:type="character" w:customStyle="1" w:styleId="Char7">
    <w:name w:val="批注主题 Char"/>
    <w:basedOn w:val="Char0"/>
    <w:link w:val="ab"/>
    <w:uiPriority w:val="99"/>
    <w:semiHidden/>
    <w:qFormat/>
    <w:rPr>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9CBF4-4257-4E77-9E06-5F6598035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705</Words>
  <Characters>4023</Characters>
  <Application>Microsoft Office Word</Application>
  <DocSecurity>0</DocSecurity>
  <Lines>33</Lines>
  <Paragraphs>9</Paragraphs>
  <ScaleCrop>false</ScaleCrop>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胡德鑫</dc:creator>
  <cp:lastModifiedBy>贾茜</cp:lastModifiedBy>
  <cp:revision>9</cp:revision>
  <dcterms:created xsi:type="dcterms:W3CDTF">2021-09-22T08:57:00Z</dcterms:created>
  <dcterms:modified xsi:type="dcterms:W3CDTF">2021-09-23T07:30:00Z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57E767FE767445FC8888EBF9C834DB16</vt:lpwstr>
  </property>
</Properties>
</file>