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仿宋_GBK" w:hAnsi="方正仿宋_GBK" w:eastAsia="方正仿宋_GBK" w:cs="方正仿宋_GBK"/>
          <w:sz w:val="32"/>
          <w:szCs w:val="48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>附件</w:t>
      </w:r>
      <w:r>
        <w:rPr>
          <w:rFonts w:hint="eastAsia" w:ascii="方正仿宋_GBK" w:hAnsi="方正仿宋_GBK" w:cs="方正仿宋_GBK"/>
          <w:sz w:val="32"/>
          <w:szCs w:val="48"/>
          <w:lang w:val="en-US" w:eastAsia="zh-CN"/>
        </w:rPr>
        <w:t>2</w:t>
      </w:r>
      <w:r>
        <w:rPr>
          <w:rFonts w:hint="eastAsia" w:ascii="方正仿宋_GBK" w:hAnsi="方正仿宋_GBK" w:cs="方正仿宋_GBK"/>
          <w:sz w:val="32"/>
          <w:szCs w:val="4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巢湖学院第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十五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届大学生职业规划设计大赛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就业</w:t>
      </w:r>
      <w:bookmarkStart w:id="0" w:name="_GoBack"/>
      <w:bookmarkEnd w:id="0"/>
      <w:r>
        <w:rPr>
          <w:rFonts w:hint="eastAsia" w:eastAsia="方正小标宋简体" w:cs="方正小标宋简体"/>
          <w:sz w:val="44"/>
          <w:szCs w:val="44"/>
        </w:rPr>
        <w:t>赛道方案</w:t>
      </w:r>
    </w:p>
    <w:p>
      <w:pPr>
        <w:numPr>
          <w:ilvl w:val="0"/>
          <w:numId w:val="0"/>
        </w:numPr>
        <w:spacing w:line="336" w:lineRule="auto"/>
        <w:ind w:left="640" w:leftChars="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比赛内容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考察学生的求职实战能力，个人发展路径与经济社会发展需要的适应度，就业能力与职业目标和岗位要求的契合度。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参赛组别和对象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就业赛道设5个分赛道。针对企业职能岗位，设</w:t>
      </w: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</w:rPr>
        <w:t>产品研发、生产服务、市场营销、通用职能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分赛道（按相近行业分小组）；针对公共服务岗位，设</w:t>
      </w: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</w:rPr>
        <w:t>公共服务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分赛道。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就业赛道参赛对象为三、四年级学生。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参赛材料要求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选手在大赛平台（网址：zgs.chsi.com.cn）提交以下参赛材料：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1.求职简历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（PDF格式）。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2.就业能力展示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（PPT格式，不超过50MB；可加入视频）。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3.辅助证明材料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，包括实践、实习、获奖等证明材料（PDF格式，整合为单个文件，不超过50MB）。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比赛环节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就业赛道设主题陈述、综合面试、天降offer（录用意向）环节。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1.主题陈述（7分钟）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：选手陈述个人求职意向和职业准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备情况，展示通用素质与岗位能力。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2.综合面试（8分钟）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：评委提出真实工作场景中可能遇到的问题，选手提出解决方案；评委结合选手陈述自由提问。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color w:val="000000"/>
          <w:sz w:val="32"/>
          <w:szCs w:val="32"/>
          <w:lang w:val="en-US" w:eastAsia="zh-CN"/>
        </w:rPr>
        <w:t>3.天降offer（3分钟）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：用人单位根据选手表现，决定是否给出录用意向，并对选手作点评。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评审标准</w:t>
      </w:r>
    </w:p>
    <w:tbl>
      <w:tblPr>
        <w:tblStyle w:val="3"/>
        <w:tblW w:w="9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14"/>
        <w:gridCol w:w="3171"/>
        <w:gridCol w:w="713"/>
        <w:gridCol w:w="706"/>
        <w:gridCol w:w="708"/>
        <w:gridCol w:w="708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1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35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3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通用素质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职业精神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沟通能力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执行和领导能力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岗位能力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岗位认知程度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岗位胜任能力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发展潜力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录用意向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现场获得用人单位提供录用意向情况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4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总分值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spacing w:line="211" w:lineRule="auto"/>
        <w:rPr>
          <w:rFonts w:hint="eastAsia" w:ascii="方正仿宋_GBK" w:eastAsia="方正仿宋_GBK"/>
          <w:szCs w:val="28"/>
          <w:lang w:eastAsia="zh-CN"/>
        </w:rPr>
      </w:pPr>
    </w:p>
    <w:p/>
    <w:sectPr>
      <w:footerReference r:id="rId3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DEzNDI0MjYzYjZmNjJmZjRhNzhiNTIyMDQ4NzYifQ=="/>
  </w:docVars>
  <w:rsids>
    <w:rsidRoot w:val="6FAF2731"/>
    <w:rsid w:val="06D2097C"/>
    <w:rsid w:val="62B42E57"/>
    <w:rsid w:val="6FA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2023-10-09T01:34:00Z</dcterms:created>
  <dc:creator>刘斌</dc:creator>
  <cp:lastModifiedBy>j i a j i a</cp:lastModifiedBy>
  <dcterms:modified xsi:type="dcterms:W3CDTF">2023-10-18T02:17:57Z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55F8DEA999464578A5869250E5501E2E_12</vt:lpwstr>
  </property>
</Properties>
</file>