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58" w:rsidRPr="00AB602C" w:rsidRDefault="00EC3D58" w:rsidP="00EC3D58">
      <w:pPr>
        <w:pStyle w:val="3"/>
        <w:spacing w:line="240" w:lineRule="auto"/>
        <w:jc w:val="center"/>
        <w:rPr>
          <w:rFonts w:ascii="宋体" w:hAnsi="宋体"/>
          <w:sz w:val="22"/>
          <w:szCs w:val="22"/>
        </w:rPr>
      </w:pPr>
      <w:bookmarkStart w:id="0" w:name="_Toc357147952"/>
      <w:bookmarkStart w:id="1" w:name="_Toc357411731"/>
      <w:r w:rsidRPr="00AB602C">
        <w:rPr>
          <w:rFonts w:ascii="宋体" w:hAnsi="宋体" w:hint="eastAsia"/>
          <w:sz w:val="22"/>
          <w:szCs w:val="22"/>
        </w:rPr>
        <w:t>巢湖学院实践教学经费管理办法</w:t>
      </w:r>
      <w:bookmarkEnd w:id="0"/>
      <w:bookmarkEnd w:id="1"/>
    </w:p>
    <w:p w:rsidR="00EC3D58" w:rsidRPr="00AB602C" w:rsidRDefault="00EC3D58" w:rsidP="00EC3D58">
      <w:pPr>
        <w:jc w:val="center"/>
        <w:rPr>
          <w:rFonts w:ascii="宋体" w:hAnsi="宋体"/>
          <w:sz w:val="22"/>
          <w:szCs w:val="22"/>
        </w:rPr>
      </w:pPr>
      <w:r w:rsidRPr="00AB602C">
        <w:rPr>
          <w:rFonts w:ascii="宋体" w:hAnsi="宋体"/>
          <w:sz w:val="22"/>
          <w:szCs w:val="22"/>
        </w:rPr>
        <w:t>院字〔2012〕1</w:t>
      </w:r>
      <w:r w:rsidRPr="00AB602C">
        <w:rPr>
          <w:rFonts w:ascii="宋体" w:hAnsi="宋体" w:hint="eastAsia"/>
          <w:sz w:val="22"/>
          <w:szCs w:val="22"/>
        </w:rPr>
        <w:t>29</w:t>
      </w:r>
      <w:r w:rsidRPr="00AB602C">
        <w:rPr>
          <w:rFonts w:ascii="宋体" w:hAnsi="宋体"/>
          <w:sz w:val="22"/>
          <w:szCs w:val="22"/>
        </w:rPr>
        <w:t>号</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实践教学是高校人才培养的重要环节，实践教学经费的投入和使用是实践教学活动顺利进行的重要保证。为确保我院实践教学经费科学合理使用，提高实践质量，结合我院实际情况，特制定本办法。</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一、经费管理原则</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1．师范类和统筹管理类经费由教务处统一管理，超支不补，节余收回；非师范类经费实行“统一计划，指标到院系，超支不补，节余收回”的使用原则。</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2．实践教学经费实行专款专用，各单位要统筹安排，并对实践教学经费的使用及过程实施全程监控，保证实践教学经费的合理使用，厉行节俭，保证实践教学效果。</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二、经费使用范围</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经费用于支付实践教学过程中发生的的差旅费、住宿费、基地建设费、资料费、办公用品费、材料费、加工费、教师及工程技术人员指导费等。</w:t>
      </w:r>
    </w:p>
    <w:p w:rsidR="00EC3D58" w:rsidRPr="00AB602C" w:rsidRDefault="00EC3D58" w:rsidP="00EC3D58">
      <w:pPr>
        <w:ind w:leftChars="-138" w:left="-290" w:firstLineChars="302" w:firstLine="664"/>
        <w:rPr>
          <w:rFonts w:ascii="宋体" w:hAnsi="宋体"/>
          <w:sz w:val="22"/>
          <w:szCs w:val="22"/>
        </w:rPr>
      </w:pPr>
      <w:r w:rsidRPr="00AB602C">
        <w:rPr>
          <w:rFonts w:ascii="宋体" w:hAnsi="宋体" w:hint="eastAsia"/>
          <w:sz w:val="22"/>
          <w:szCs w:val="22"/>
        </w:rPr>
        <w:t>三、经费预算标准</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经费实行本年度预算、下年度使用的原则，预算参照以下标准执行，同时可参照本年度实习经费使用绩效等情况进行适当调整。</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1．师范毕业毕业实习经费预算标准</w:t>
      </w:r>
    </w:p>
    <w:p w:rsidR="00EC3D58" w:rsidRPr="00AB602C" w:rsidRDefault="00EC3D58" w:rsidP="00EC3D58">
      <w:pPr>
        <w:ind w:leftChars="1" w:left="2" w:firstLineChars="200" w:firstLine="440"/>
        <w:rPr>
          <w:rFonts w:ascii="宋体" w:hAnsi="宋体"/>
          <w:sz w:val="22"/>
          <w:szCs w:val="22"/>
        </w:rPr>
      </w:pPr>
      <w:r w:rsidRPr="00AB602C">
        <w:rPr>
          <w:rFonts w:ascii="宋体" w:hAnsi="宋体" w:hint="eastAsia"/>
          <w:sz w:val="22"/>
          <w:szCs w:val="22"/>
        </w:rPr>
        <w:t>师范类按本科生均220元、专科生均200元标准由学校下拨到教务处，由教务处统筹管理。</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2．其它类实践教学经费预算标准</w:t>
      </w:r>
    </w:p>
    <w:p w:rsidR="00EC3D58" w:rsidRPr="00AB602C" w:rsidRDefault="00EC3D58" w:rsidP="00EC3D58">
      <w:pPr>
        <w:ind w:leftChars="1" w:left="2" w:firstLineChars="200" w:firstLine="440"/>
        <w:rPr>
          <w:rFonts w:ascii="宋体" w:hAnsi="宋体"/>
          <w:sz w:val="22"/>
          <w:szCs w:val="22"/>
        </w:rPr>
      </w:pPr>
      <w:r w:rsidRPr="00AB602C">
        <w:rPr>
          <w:rFonts w:ascii="宋体" w:hAnsi="宋体" w:hint="eastAsia"/>
          <w:sz w:val="22"/>
          <w:szCs w:val="22"/>
        </w:rPr>
        <w:t>其它类实践教学经费由学校按在校生数和学科专业特点等因素下拨到各院系统筹管理使用。</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3．统筹管理类经费预算标准</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用于各类实践教学环节管理、检查等项目的经费按每生10元的标准进行预算（含统一印制的师范生毕业实习教学资料，不含其它环节实践教学资料），并由教务处统一管理。</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四、实践教学经费使用原则</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1．实践教学经费实行先预算，后批准使用原则。各单位应根据实践教学工作实际情况认真做好经费预算，经分管院领导审批后方可执行。</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2．各单位在实践教学经费的安排上，应坚持量入为出的原则，合理安排实践教学场所，并按财务规定支付学生实践教学经费。凡与实践教学无关的支出一律不得在该项经费中报销，实践教学经费不得挪作它用。学生去外地实习或进行其它实践教学活动费用超出预算标准，其差额部分由学生自理或院系自行解决。</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3．师范类和统筹管理类经费的使用由教务处具体负责，分管院领导审核、批准后实施；非师范类经费使用由各院系具体负责，并报分管院领导批准后实施。</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4．带队教师生活补助费原则上按财务制度出差标准发放；校外参与实践教学指导任务的教师每天另补助2个课时（标准为10元/课时，从实习经费中支出，下同），指导学生数少于10人指导课时减半。</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5．校内见习安排实践教学指导任务的教师，工作量核算标准按每生每周1个课时给予指导教师补助。</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6．自主实习答辩费控制在每生10元标准以内。</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7．对进行自主学习的学生由经费管理单位统一发放实习补助，标准为每生50元。</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8．实践教学活动过程中，聘请校外专家讲授的费用原则上按中级职称40元/小时、</w:t>
      </w:r>
      <w:r w:rsidRPr="00AB602C">
        <w:rPr>
          <w:rFonts w:ascii="宋体" w:hAnsi="宋体" w:hint="eastAsia"/>
          <w:sz w:val="22"/>
          <w:szCs w:val="22"/>
        </w:rPr>
        <w:lastRenderedPageBreak/>
        <w:t>副高职称50元/小时、正高职称60元/小时标准予以核算；讲座则按每场次200元标准核算。发生的差旅费按院财务有关制度予以报销。</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9．所有实践教学经费使用均须接受学院监察审计部门的监督与审计。</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五、其它</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各院系由校企合作等得到的资助实践教学经费原则上只用于该院系实践教学活动，由财务处统一管理，经院系主任审核、批准后使用。</w:t>
      </w:r>
    </w:p>
    <w:p w:rsidR="00EC3D58" w:rsidRPr="00AB602C" w:rsidRDefault="00EC3D58" w:rsidP="00EC3D58">
      <w:pPr>
        <w:ind w:firstLineChars="200" w:firstLine="440"/>
        <w:rPr>
          <w:rFonts w:ascii="宋体" w:hAnsi="宋体"/>
          <w:sz w:val="22"/>
          <w:szCs w:val="22"/>
        </w:rPr>
      </w:pPr>
      <w:r w:rsidRPr="00AB602C">
        <w:rPr>
          <w:rFonts w:ascii="宋体" w:hAnsi="宋体" w:hint="eastAsia"/>
          <w:sz w:val="22"/>
          <w:szCs w:val="22"/>
        </w:rPr>
        <w:t>六、附则</w:t>
      </w:r>
    </w:p>
    <w:p w:rsidR="004D5B5E" w:rsidRPr="00EC3D58" w:rsidRDefault="00EC3D58" w:rsidP="00EC3D58">
      <w:pPr>
        <w:ind w:firstLineChars="200" w:firstLine="440"/>
        <w:rPr>
          <w:rFonts w:ascii="宋体" w:hAnsi="宋体" w:hint="eastAsia"/>
          <w:sz w:val="22"/>
          <w:szCs w:val="22"/>
        </w:rPr>
      </w:pPr>
      <w:r w:rsidRPr="00AB602C">
        <w:rPr>
          <w:rFonts w:ascii="宋体" w:hAnsi="宋体" w:hint="eastAsia"/>
          <w:sz w:val="22"/>
          <w:szCs w:val="22"/>
        </w:rPr>
        <w:t>本办法自公布之日起实施，由教务处、财务处负责解释。</w:t>
      </w:r>
    </w:p>
    <w:sectPr w:rsidR="004D5B5E" w:rsidRPr="00EC3D58" w:rsidSect="004D5B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D58"/>
    <w:rsid w:val="000109BB"/>
    <w:rsid w:val="00021874"/>
    <w:rsid w:val="00043677"/>
    <w:rsid w:val="00062062"/>
    <w:rsid w:val="00090CD2"/>
    <w:rsid w:val="00095D3D"/>
    <w:rsid w:val="000B456E"/>
    <w:rsid w:val="000C1BE6"/>
    <w:rsid w:val="000C206E"/>
    <w:rsid w:val="000F0448"/>
    <w:rsid w:val="000F7171"/>
    <w:rsid w:val="00100BE0"/>
    <w:rsid w:val="00100D12"/>
    <w:rsid w:val="00113932"/>
    <w:rsid w:val="00145504"/>
    <w:rsid w:val="00155F92"/>
    <w:rsid w:val="00180641"/>
    <w:rsid w:val="00182AD3"/>
    <w:rsid w:val="00183714"/>
    <w:rsid w:val="001862C9"/>
    <w:rsid w:val="00196D77"/>
    <w:rsid w:val="001B30FF"/>
    <w:rsid w:val="001B62A4"/>
    <w:rsid w:val="001C3887"/>
    <w:rsid w:val="001D25DE"/>
    <w:rsid w:val="001D3CFE"/>
    <w:rsid w:val="001E3E24"/>
    <w:rsid w:val="00203937"/>
    <w:rsid w:val="002043C2"/>
    <w:rsid w:val="00232E2C"/>
    <w:rsid w:val="00253072"/>
    <w:rsid w:val="00263EEB"/>
    <w:rsid w:val="002874CB"/>
    <w:rsid w:val="002A145D"/>
    <w:rsid w:val="002A7D3D"/>
    <w:rsid w:val="002D34E2"/>
    <w:rsid w:val="002E7E84"/>
    <w:rsid w:val="002F4B1D"/>
    <w:rsid w:val="00322803"/>
    <w:rsid w:val="003445F5"/>
    <w:rsid w:val="00347672"/>
    <w:rsid w:val="0035516A"/>
    <w:rsid w:val="00360774"/>
    <w:rsid w:val="00363275"/>
    <w:rsid w:val="00372FEC"/>
    <w:rsid w:val="003946C1"/>
    <w:rsid w:val="00397951"/>
    <w:rsid w:val="003A33B4"/>
    <w:rsid w:val="003B048A"/>
    <w:rsid w:val="003B53DC"/>
    <w:rsid w:val="003C3B69"/>
    <w:rsid w:val="003C49CF"/>
    <w:rsid w:val="003D4E1E"/>
    <w:rsid w:val="003E272A"/>
    <w:rsid w:val="003E4B59"/>
    <w:rsid w:val="0040355F"/>
    <w:rsid w:val="00413F22"/>
    <w:rsid w:val="00441379"/>
    <w:rsid w:val="004761D0"/>
    <w:rsid w:val="00486FB9"/>
    <w:rsid w:val="00495D27"/>
    <w:rsid w:val="004A3DDB"/>
    <w:rsid w:val="004C0043"/>
    <w:rsid w:val="004C57F7"/>
    <w:rsid w:val="004C5CBC"/>
    <w:rsid w:val="004D274E"/>
    <w:rsid w:val="004D5B5E"/>
    <w:rsid w:val="00511EF3"/>
    <w:rsid w:val="0054015C"/>
    <w:rsid w:val="00567470"/>
    <w:rsid w:val="00572938"/>
    <w:rsid w:val="00580001"/>
    <w:rsid w:val="00594F66"/>
    <w:rsid w:val="0059629A"/>
    <w:rsid w:val="00596396"/>
    <w:rsid w:val="005A75D5"/>
    <w:rsid w:val="005B1DFE"/>
    <w:rsid w:val="005C1DBF"/>
    <w:rsid w:val="005C44A1"/>
    <w:rsid w:val="005D1849"/>
    <w:rsid w:val="005D55B7"/>
    <w:rsid w:val="005E4FF8"/>
    <w:rsid w:val="005E6064"/>
    <w:rsid w:val="00624549"/>
    <w:rsid w:val="00634DBF"/>
    <w:rsid w:val="00640FDC"/>
    <w:rsid w:val="006458C3"/>
    <w:rsid w:val="00650E72"/>
    <w:rsid w:val="00652B9C"/>
    <w:rsid w:val="00673FEF"/>
    <w:rsid w:val="00675009"/>
    <w:rsid w:val="006773E7"/>
    <w:rsid w:val="00695710"/>
    <w:rsid w:val="006A3D19"/>
    <w:rsid w:val="006B5857"/>
    <w:rsid w:val="006C0247"/>
    <w:rsid w:val="006E209A"/>
    <w:rsid w:val="006E774A"/>
    <w:rsid w:val="00716F2E"/>
    <w:rsid w:val="0073690C"/>
    <w:rsid w:val="00755200"/>
    <w:rsid w:val="0079442A"/>
    <w:rsid w:val="007A6148"/>
    <w:rsid w:val="007A7B4D"/>
    <w:rsid w:val="007E4CEA"/>
    <w:rsid w:val="00817AB3"/>
    <w:rsid w:val="00823144"/>
    <w:rsid w:val="00834C62"/>
    <w:rsid w:val="00850A70"/>
    <w:rsid w:val="00851E93"/>
    <w:rsid w:val="00872475"/>
    <w:rsid w:val="008972FE"/>
    <w:rsid w:val="008975B7"/>
    <w:rsid w:val="008B7F5D"/>
    <w:rsid w:val="008C4F1D"/>
    <w:rsid w:val="008C686A"/>
    <w:rsid w:val="008D0794"/>
    <w:rsid w:val="008D726D"/>
    <w:rsid w:val="008E56D4"/>
    <w:rsid w:val="008E704F"/>
    <w:rsid w:val="008F31F8"/>
    <w:rsid w:val="008F60AC"/>
    <w:rsid w:val="009063EB"/>
    <w:rsid w:val="00913FFF"/>
    <w:rsid w:val="00921A44"/>
    <w:rsid w:val="00924D36"/>
    <w:rsid w:val="00930A73"/>
    <w:rsid w:val="00932F01"/>
    <w:rsid w:val="0095269F"/>
    <w:rsid w:val="00952BE8"/>
    <w:rsid w:val="00955C1B"/>
    <w:rsid w:val="00973787"/>
    <w:rsid w:val="0097421D"/>
    <w:rsid w:val="009A1319"/>
    <w:rsid w:val="009B40FD"/>
    <w:rsid w:val="009B6E8D"/>
    <w:rsid w:val="009C000B"/>
    <w:rsid w:val="009C038E"/>
    <w:rsid w:val="009C24ED"/>
    <w:rsid w:val="009C41C9"/>
    <w:rsid w:val="009C4EB7"/>
    <w:rsid w:val="009D169C"/>
    <w:rsid w:val="009F62D5"/>
    <w:rsid w:val="00A0799A"/>
    <w:rsid w:val="00A46D2B"/>
    <w:rsid w:val="00A55451"/>
    <w:rsid w:val="00A60080"/>
    <w:rsid w:val="00A70098"/>
    <w:rsid w:val="00A83265"/>
    <w:rsid w:val="00A876CB"/>
    <w:rsid w:val="00A974B9"/>
    <w:rsid w:val="00AA45A8"/>
    <w:rsid w:val="00AC1DC0"/>
    <w:rsid w:val="00AE5265"/>
    <w:rsid w:val="00B37A38"/>
    <w:rsid w:val="00B557F2"/>
    <w:rsid w:val="00B7447A"/>
    <w:rsid w:val="00B8131D"/>
    <w:rsid w:val="00B91C38"/>
    <w:rsid w:val="00B93D58"/>
    <w:rsid w:val="00BA5BCD"/>
    <w:rsid w:val="00BB0A3B"/>
    <w:rsid w:val="00BB2680"/>
    <w:rsid w:val="00BC1210"/>
    <w:rsid w:val="00BC13DF"/>
    <w:rsid w:val="00BD7FB3"/>
    <w:rsid w:val="00BE7F58"/>
    <w:rsid w:val="00C03698"/>
    <w:rsid w:val="00C1657F"/>
    <w:rsid w:val="00C47A5D"/>
    <w:rsid w:val="00C57B87"/>
    <w:rsid w:val="00C7691C"/>
    <w:rsid w:val="00C87FDD"/>
    <w:rsid w:val="00C903A5"/>
    <w:rsid w:val="00C926C5"/>
    <w:rsid w:val="00C93B17"/>
    <w:rsid w:val="00CD2E7C"/>
    <w:rsid w:val="00CF2143"/>
    <w:rsid w:val="00D27207"/>
    <w:rsid w:val="00D522EC"/>
    <w:rsid w:val="00D76325"/>
    <w:rsid w:val="00DD5D75"/>
    <w:rsid w:val="00DF2679"/>
    <w:rsid w:val="00DF2DCF"/>
    <w:rsid w:val="00DF6D85"/>
    <w:rsid w:val="00E04E8F"/>
    <w:rsid w:val="00E20CD1"/>
    <w:rsid w:val="00E41BE2"/>
    <w:rsid w:val="00E63358"/>
    <w:rsid w:val="00E719B8"/>
    <w:rsid w:val="00E727AF"/>
    <w:rsid w:val="00E908F0"/>
    <w:rsid w:val="00EC3D58"/>
    <w:rsid w:val="00EC713E"/>
    <w:rsid w:val="00EE1614"/>
    <w:rsid w:val="00F11CDB"/>
    <w:rsid w:val="00F50406"/>
    <w:rsid w:val="00F5271C"/>
    <w:rsid w:val="00F5786D"/>
    <w:rsid w:val="00F647D7"/>
    <w:rsid w:val="00FA0156"/>
    <w:rsid w:val="00FE1D2C"/>
    <w:rsid w:val="00FE65D8"/>
    <w:rsid w:val="00FE7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58"/>
    <w:pPr>
      <w:widowControl w:val="0"/>
      <w:jc w:val="both"/>
    </w:pPr>
    <w:rPr>
      <w:rFonts w:ascii="Times New Roman" w:eastAsia="宋体" w:hAnsi="Times New Roman" w:cs="Times New Roman"/>
      <w:szCs w:val="24"/>
    </w:rPr>
  </w:style>
  <w:style w:type="paragraph" w:styleId="3">
    <w:name w:val="heading 3"/>
    <w:basedOn w:val="a"/>
    <w:next w:val="a"/>
    <w:link w:val="3Char"/>
    <w:qFormat/>
    <w:rsid w:val="00EC3D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C3D58"/>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zhuoyue</dc:creator>
  <cp:keywords/>
  <dc:description/>
  <cp:lastModifiedBy>zhuoyue</cp:lastModifiedBy>
  <cp:revision>1</cp:revision>
  <dcterms:created xsi:type="dcterms:W3CDTF">2013-12-12T00:16:00Z</dcterms:created>
  <dcterms:modified xsi:type="dcterms:W3CDTF">2013-12-12T00:16:00Z</dcterms:modified>
</cp:coreProperties>
</file>