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附件3：</w:t>
      </w:r>
    </w:p>
    <w:p>
      <w:pPr>
        <w:spacing w:before="26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巢湖学院毕业生就业创业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先进个人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考核评分表</w:t>
      </w:r>
    </w:p>
    <w:tbl>
      <w:tblPr>
        <w:tblStyle w:val="4"/>
        <w:tblpPr w:leftFromText="180" w:rightFromText="180" w:vertAnchor="page" w:horzAnchor="page" w:tblpX="865" w:tblpY="2838"/>
        <w:tblOverlap w:val="never"/>
        <w:tblW w:w="9990" w:type="dxa"/>
        <w:tblInd w:w="0" w:type="dxa"/>
        <w:tblBorders>
          <w:top w:val="single" w:color="4B3F4F" w:sz="6" w:space="0"/>
          <w:left w:val="single" w:color="4B3F4F" w:sz="6" w:space="0"/>
          <w:bottom w:val="single" w:color="4B3F4F" w:sz="6" w:space="0"/>
          <w:right w:val="single" w:color="4B3F4F" w:sz="6" w:space="0"/>
          <w:insideH w:val="single" w:color="4B3F4F" w:sz="6" w:space="0"/>
          <w:insideV w:val="single" w:color="4B3F4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05"/>
        <w:gridCol w:w="585"/>
        <w:gridCol w:w="1669"/>
        <w:gridCol w:w="4001"/>
        <w:gridCol w:w="1350"/>
        <w:gridCol w:w="885"/>
      </w:tblGrid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95" w:type="dxa"/>
            <w:tcBorders>
              <w:left w:val="single" w:color="6B6077" w:sz="4" w:space="0"/>
              <w:bottom w:val="single" w:color="5B4F5B" w:sz="6" w:space="0"/>
              <w:right w:val="single" w:color="6B6077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705" w:type="dxa"/>
            <w:tcBorders>
              <w:left w:val="single" w:color="6B6077" w:sz="8" w:space="0"/>
              <w:bottom w:val="single" w:color="5B4F5B" w:sz="6" w:space="0"/>
              <w:right w:val="single" w:color="604F7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585" w:type="dxa"/>
            <w:tcBorders>
              <w:left w:val="single" w:color="604F70" w:sz="4" w:space="0"/>
              <w:bottom w:val="single" w:color="5B4F5B" w:sz="6" w:space="0"/>
              <w:right w:val="single" w:color="605464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1669" w:type="dxa"/>
            <w:tcBorders>
              <w:left w:val="single" w:color="605464" w:sz="4" w:space="0"/>
              <w:bottom w:val="single" w:color="5B4F5B" w:sz="6" w:space="0"/>
              <w:right w:val="single" w:color="6B607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考核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容</w:t>
            </w:r>
          </w:p>
        </w:tc>
        <w:tc>
          <w:tcPr>
            <w:tcW w:w="4001" w:type="dxa"/>
            <w:tcBorders>
              <w:left w:val="single" w:color="6B6070" w:sz="4" w:space="0"/>
              <w:bottom w:val="single" w:color="5B4F5B" w:sz="6" w:space="0"/>
              <w:right w:val="single" w:color="67546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考核订分标准</w:t>
            </w:r>
          </w:p>
        </w:tc>
        <w:tc>
          <w:tcPr>
            <w:tcW w:w="1350" w:type="dxa"/>
            <w:tcBorders>
              <w:left w:val="single" w:color="675467" w:sz="6" w:space="0"/>
              <w:bottom w:val="single" w:color="5B4F5B" w:sz="6" w:space="0"/>
              <w:right w:val="single" w:color="4F4467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自评分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（附支撑材料）</w:t>
            </w:r>
          </w:p>
        </w:tc>
        <w:tc>
          <w:tcPr>
            <w:tcW w:w="885" w:type="dxa"/>
            <w:tcBorders>
              <w:left w:val="single" w:color="4F4467" w:sz="4" w:space="0"/>
              <w:bottom w:val="single" w:color="5B4F5B" w:sz="6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复核分</w:t>
            </w: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95" w:type="dxa"/>
            <w:vMerge w:val="restart"/>
            <w:tcBorders>
              <w:top w:val="single" w:color="5B4F5B" w:sz="6" w:space="0"/>
              <w:left w:val="single" w:color="6B6077" w:sz="4" w:space="0"/>
              <w:bottom w:val="single" w:color="2F2B38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工作纪律16分</w:t>
            </w:r>
          </w:p>
        </w:tc>
        <w:tc>
          <w:tcPr>
            <w:tcW w:w="705" w:type="dxa"/>
            <w:tcBorders>
              <w:top w:val="single" w:color="5B4F5B" w:sz="6" w:space="0"/>
              <w:left w:val="single" w:color="7C708C" w:sz="4" w:space="0"/>
              <w:bottom w:val="single" w:color="574B77" w:sz="4" w:space="0"/>
              <w:right w:val="single" w:color="776B74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会议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纪律</w:t>
            </w:r>
          </w:p>
        </w:tc>
        <w:tc>
          <w:tcPr>
            <w:tcW w:w="585" w:type="dxa"/>
            <w:tcBorders>
              <w:top w:val="single" w:color="5B4F5B" w:sz="6" w:space="0"/>
              <w:left w:val="single" w:color="776B74" w:sz="6" w:space="0"/>
              <w:bottom w:val="single" w:color="4F445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6分</w:t>
            </w:r>
          </w:p>
        </w:tc>
        <w:tc>
          <w:tcPr>
            <w:tcW w:w="1669" w:type="dxa"/>
            <w:tcBorders>
              <w:top w:val="single" w:color="5B4F5B" w:sz="6" w:space="0"/>
              <w:left w:val="single" w:color="837C80" w:sz="4" w:space="0"/>
              <w:bottom w:val="single" w:color="4F4454" w:sz="4" w:space="0"/>
              <w:right w:val="single" w:color="6B607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严格按照要求参加就业创业相关会议</w:t>
            </w:r>
          </w:p>
        </w:tc>
        <w:tc>
          <w:tcPr>
            <w:tcW w:w="4001" w:type="dxa"/>
            <w:tcBorders>
              <w:top w:val="single" w:color="5B4F5B" w:sz="6" w:space="0"/>
              <w:left w:val="single" w:color="6B6070" w:sz="4" w:space="0"/>
              <w:bottom w:val="single" w:color="4F4454" w:sz="4" w:space="0"/>
              <w:right w:val="single" w:color="675467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无故缺席，1分/次；迟到、早退，0.5分/次；扣完为止。严格按照要求，提前履行请假手续不扣分。</w:t>
            </w:r>
          </w:p>
        </w:tc>
        <w:tc>
          <w:tcPr>
            <w:tcW w:w="1350" w:type="dxa"/>
            <w:tcBorders>
              <w:top w:val="single" w:color="5B4F5B" w:sz="6" w:space="0"/>
              <w:left w:val="single" w:color="675467" w:sz="6" w:space="0"/>
              <w:bottom w:val="single" w:color="4F4454" w:sz="4" w:space="0"/>
              <w:right w:val="single" w:color="4F485B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5B4F5B" w:sz="6" w:space="0"/>
              <w:left w:val="single" w:color="4F485B" w:sz="4" w:space="0"/>
              <w:bottom w:val="single" w:color="4F4454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continue"/>
            <w:tcBorders>
              <w:top w:val="nil"/>
              <w:left w:val="single" w:color="6B6077" w:sz="4" w:space="0"/>
              <w:bottom w:val="single" w:color="2F2B38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top w:val="single" w:color="574B77" w:sz="4" w:space="0"/>
              <w:left w:val="single" w:color="675787" w:sz="6" w:space="0"/>
              <w:bottom w:val="single" w:color="443F44" w:sz="4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事务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纪律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按照各项工作要求按时保质完成任务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工作任务无闭环，1.5分/次；工作任务未按时完成，1分/次；错误率高，0.5分/处；扣完为止。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restart"/>
            <w:tcBorders>
              <w:top w:val="nil"/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工作实绩</w:t>
            </w:r>
          </w:p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70分</w:t>
            </w:r>
          </w:p>
        </w:tc>
        <w:tc>
          <w:tcPr>
            <w:tcW w:w="705" w:type="dxa"/>
            <w:tcBorders>
              <w:top w:val="single" w:color="574B77" w:sz="4" w:space="0"/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荣誉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4分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本人在就业创业相关工作中取得荣誉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省级（不含）以上，4分/项；省级，3分/项；市、校级，2分/项，荣誉取最高项计分，不重复计算。（奖项分等次的，一、二、三、优秀奖分别乘以1、0.8、0.6和0.4系数）。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left w:val="single" w:color="675787" w:sz="6" w:space="0"/>
              <w:bottom w:val="single" w:color="443F44" w:sz="4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指导</w:t>
            </w:r>
          </w:p>
          <w:p>
            <w:pPr>
              <w:ind w:firstLine="180" w:firstLineChars="10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赛事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6分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本人指导学生在就业创业相关赛事中取得成绩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省级（不含）以上，6分/项；省级，4分/项；市、校级，2分/项，荣誉取最高项计分，不重复计算。（奖项分等次的，一、二、三、优秀奖分别乘以1、0.8、0.6和0.4系数）。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top w:val="single" w:color="574B77" w:sz="4" w:space="0"/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学术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科研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4分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认真开展就业创业工作学术研究，发表论文或申报课题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发表就业创业类论文：二类，4分/项；三类，3分/项；四类2分/项。成功申报就业创业类课题：省部级，4分/项；市级，3分/项；校级2分/项。积极提交论文参加相关比赛并获奖：省部级，4分/项；市级，3分/项；校级2分/项（奖项分等次的，一、二、三、优秀奖分别乘以1、0.8、0.6和0.4系数）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left w:val="single" w:color="675787" w:sz="6" w:space="0"/>
              <w:bottom w:val="single" w:color="443F44" w:sz="4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就业率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12分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初次和年终就业率均保持较高水平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初次就业率不低于88%；年终就业率不低于92%；达标一项得5分。要求初次就业率与年终就业率有明显递增层次，2分。年终就业率视考评时间取值。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top w:val="single" w:color="574B77" w:sz="4" w:space="0"/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教学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8分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主动承担职业规划、就业、创业相关课程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主动参与教研室活动，承担职业规划、就业、创业相关课程，4分/门；主动承担教材编订、课程教学素材（教案、PPT、大纲等）任务，2分/次。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795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证书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43F4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4分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3F384B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注重专业化发展，获取就业创业类证书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3F384B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已获得的就业创业相关资格证书（高校创业指导、职业指导资格证书；SYB、模拟实训证书等），2分/项。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3F384B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3F384B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跟踪调查表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F445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8分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4F4454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严格按照工作要求，完成上级或学校安排的调查工作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4F4454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顺利完成上级和学校布置的问卷调查工作，8分；未完成指标任务，扣2分/次。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4F4454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4F4454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创业培训人数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F445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4分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4F4454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积极组织学生参加SYB、模拟实训等创业培训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4F4454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积极宣传，动员毕业生参加培训。0.5分/人。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4F4454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4F4454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创业指导效果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F445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4分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4F4454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毕业生创业人数较多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4F4454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成功进行工商注册创业，2分/个。需提供营业执照和场地证明（图片、租赁协议等）。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4F4454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4F4454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支持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F445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4分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4F4454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对学校组织的各类就业创业工作给予主动支持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4F4454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主动积极，踏实肯干，主动作为工作人员参与到学校组织的教师资格证办理、大型招聘会等专项工作。1分/次。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4F4454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4F4454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tcBorders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高质量就业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F445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12分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4F4454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积极搜索并向毕业生推荐，指导毕业生实现高质量就业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4F4454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考研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0.5分/人，上限6分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西部计划、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国家基层项目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、公务员、应征入伍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、事业单位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教师考编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、特岗教师、三支一扶、选调生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1分/人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国有企业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校企校地合作单位（正式挂牌并签协议）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等，0.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分/人；加满为止</w:t>
            </w:r>
            <w:r>
              <w:rPr>
                <w:rFonts w:hint="eastAsia" w:cs="宋体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4F4454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4F4454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restart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工作宣传</w:t>
            </w:r>
          </w:p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14分</w:t>
            </w:r>
          </w:p>
        </w:tc>
        <w:tc>
          <w:tcPr>
            <w:tcW w:w="705" w:type="dxa"/>
            <w:tcBorders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新闻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报道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F445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8分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4F4454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积极对就业创业工作进行新闻宣传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4F4454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富有宣传意识，对主持或参与的就业创业类活动，积极进行宣传，在国家级网站刊物登载的4分/篇；省部级网站刊物登载的3分/篇；市级网站刊物登载的2分/篇；校级网站刊物或自媒体登载的1分/篇。（同一稿件按最高层次计算）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4F4454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4F4454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4B3F4F" w:sz="6" w:space="0"/>
            <w:left w:val="single" w:color="4B3F4F" w:sz="6" w:space="0"/>
            <w:bottom w:val="single" w:color="4B3F4F" w:sz="6" w:space="0"/>
            <w:right w:val="single" w:color="4B3F4F" w:sz="6" w:space="0"/>
            <w:insideH w:val="single" w:color="4B3F4F" w:sz="6" w:space="0"/>
            <w:insideV w:val="single" w:color="4B3F4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95" w:type="dxa"/>
            <w:vMerge w:val="continue"/>
            <w:tcBorders>
              <w:left w:val="single" w:color="6B6077" w:sz="4" w:space="0"/>
              <w:right w:val="single" w:color="675787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tcBorders>
              <w:left w:val="single" w:color="675787" w:sz="6" w:space="0"/>
              <w:right w:val="single" w:color="776783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选树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典型</w:t>
            </w:r>
          </w:p>
        </w:tc>
        <w:tc>
          <w:tcPr>
            <w:tcW w:w="585" w:type="dxa"/>
            <w:tcBorders>
              <w:top w:val="single" w:color="4F4454" w:sz="4" w:space="0"/>
              <w:left w:val="single" w:color="776783" w:sz="6" w:space="0"/>
              <w:bottom w:val="single" w:color="4F4454" w:sz="4" w:space="0"/>
              <w:right w:val="single" w:color="837C8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 xml:space="preserve">6分 </w:t>
            </w:r>
          </w:p>
        </w:tc>
        <w:tc>
          <w:tcPr>
            <w:tcW w:w="1669" w:type="dxa"/>
            <w:tcBorders>
              <w:top w:val="single" w:color="4F4454" w:sz="4" w:space="0"/>
              <w:left w:val="single" w:color="837C80" w:sz="4" w:space="0"/>
              <w:bottom w:val="single" w:color="4F4454" w:sz="4" w:space="0"/>
              <w:right w:val="single" w:color="604F6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挖掘就业创业典型学子事迹，并形成文字材料宣传上报</w:t>
            </w:r>
          </w:p>
        </w:tc>
        <w:tc>
          <w:tcPr>
            <w:tcW w:w="4001" w:type="dxa"/>
            <w:tcBorders>
              <w:top w:val="single" w:color="4F4454" w:sz="4" w:space="0"/>
              <w:left w:val="single" w:color="604F60" w:sz="6" w:space="0"/>
              <w:bottom w:val="single" w:color="4F4454" w:sz="4" w:space="0"/>
              <w:right w:val="single" w:color="4F4454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重视就业创业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工作的创新做法和典型人物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事迹宣传，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在国家级网站刊物登载的6分/篇；省部级网站刊物登载的4分/篇；市级网站刊物登载的3分/篇；校级网站刊物或自媒体登载的2分/篇。（同一稿件按最高层次计算）</w:t>
            </w:r>
          </w:p>
        </w:tc>
        <w:tc>
          <w:tcPr>
            <w:tcW w:w="1350" w:type="dxa"/>
            <w:tcBorders>
              <w:top w:val="single" w:color="4F4454" w:sz="4" w:space="0"/>
              <w:left w:val="single" w:color="4F4454" w:sz="4" w:space="0"/>
              <w:bottom w:val="single" w:color="4F4454" w:sz="4" w:space="0"/>
              <w:right w:val="single" w:color="675B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4F4454" w:sz="4" w:space="0"/>
              <w:left w:val="single" w:color="675B80" w:sz="6" w:space="0"/>
              <w:bottom w:val="single" w:color="4F4454" w:sz="4" w:space="0"/>
              <w:right w:val="single" w:color="645483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</w:tbl>
    <w:p>
      <w:pPr>
        <w:ind w:left="-660" w:leftChars="-300" w:firstLine="661" w:firstLineChars="366"/>
        <w:jc w:val="left"/>
        <w:rPr>
          <w:rFonts w:hint="eastAsia" w:cs="宋体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18"/>
          <w:szCs w:val="18"/>
          <w:lang w:val="en-US" w:eastAsia="zh-CN"/>
        </w:rPr>
        <w:t>注：</w:t>
      </w:r>
      <w:r>
        <w:rPr>
          <w:rFonts w:hint="eastAsia" w:cs="宋体"/>
          <w:b/>
          <w:bCs/>
          <w:color w:val="auto"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color w:val="auto"/>
          <w:sz w:val="18"/>
          <w:szCs w:val="18"/>
          <w:lang w:val="en-US" w:eastAsia="zh-CN"/>
        </w:rPr>
        <w:t>就业创业联络员相关项目得分</w:t>
      </w:r>
      <w:r>
        <w:rPr>
          <w:rFonts w:hint="eastAsia" w:cs="宋体"/>
          <w:b/>
          <w:bCs/>
          <w:color w:val="auto"/>
          <w:sz w:val="18"/>
          <w:szCs w:val="18"/>
          <w:lang w:val="en-US" w:eastAsia="zh-CN"/>
        </w:rPr>
        <w:t>说明——会议纪律、个人荣誉、指导赛事、学术科研、课程教学、资</w:t>
      </w:r>
    </w:p>
    <w:p>
      <w:pPr>
        <w:ind w:firstLine="542" w:firstLineChars="300"/>
        <w:jc w:val="left"/>
        <w:rPr>
          <w:rFonts w:hint="eastAsia" w:cs="宋体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cs="宋体"/>
          <w:b/>
          <w:bCs/>
          <w:color w:val="auto"/>
          <w:sz w:val="18"/>
          <w:szCs w:val="18"/>
          <w:lang w:val="en-US" w:eastAsia="zh-CN"/>
        </w:rPr>
        <w:t>格证书、工作支持按个人实绩计算。事务纪律、就业率、高质量就业、跟踪调查表、新闻报道、选</w:t>
      </w:r>
    </w:p>
    <w:p>
      <w:pPr>
        <w:tabs>
          <w:tab w:val="left" w:pos="9020"/>
        </w:tabs>
        <w:ind w:firstLine="542" w:firstLineChars="300"/>
        <w:jc w:val="left"/>
        <w:rPr>
          <w:rFonts w:hint="eastAsia" w:cs="宋体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cs="宋体"/>
          <w:b/>
          <w:bCs/>
          <w:color w:val="auto"/>
          <w:sz w:val="18"/>
          <w:szCs w:val="18"/>
          <w:lang w:val="en-US" w:eastAsia="zh-CN"/>
        </w:rPr>
        <w:t>树典型、创业指导效果、创业培训人数等，带毕业班的，按照个人实绩计算；不带毕业班的，可以</w:t>
      </w:r>
      <w:bookmarkStart w:id="0" w:name="_GoBack"/>
      <w:bookmarkEnd w:id="0"/>
    </w:p>
    <w:p>
      <w:pPr>
        <w:ind w:firstLine="542" w:firstLineChars="300"/>
        <w:jc w:val="left"/>
        <w:rPr>
          <w:rFonts w:hint="eastAsia" w:cs="宋体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cs="宋体"/>
          <w:b/>
          <w:bCs/>
          <w:color w:val="auto"/>
          <w:sz w:val="18"/>
          <w:szCs w:val="18"/>
          <w:lang w:val="en-US" w:eastAsia="zh-CN"/>
        </w:rPr>
        <w:t>取学院工作平均值。</w:t>
      </w:r>
    </w:p>
    <w:p>
      <w:pPr>
        <w:ind w:firstLine="361" w:firstLineChars="200"/>
        <w:jc w:val="left"/>
        <w:rPr>
          <w:rFonts w:hint="eastAsia" w:cs="宋体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cs="宋体"/>
          <w:b/>
          <w:bCs/>
          <w:color w:val="auto"/>
          <w:sz w:val="18"/>
          <w:szCs w:val="18"/>
          <w:lang w:val="en-US" w:eastAsia="zh-CN"/>
        </w:rPr>
        <w:t>2.除“资格证书”项目外，其他项目均为本学年工作业绩内容。</w:t>
      </w:r>
    </w:p>
    <w:p/>
    <w:sectPr>
      <w:pgSz w:w="11906" w:h="16838"/>
      <w:pgMar w:top="1440" w:right="1306" w:bottom="144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849B1"/>
    <w:rsid w:val="026849B1"/>
    <w:rsid w:val="098A53DC"/>
    <w:rsid w:val="150B5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2018-12-06T08:55:00Z</dcterms:created>
  <dc:creator>小叮当1395817279</dc:creator>
  <cp:lastModifiedBy>小叮当1395817279</cp:lastModifiedBy>
  <dcterms:modified xsi:type="dcterms:W3CDTF">2018-12-06T08:56:51Z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