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/>
        <w:ind w:firstLine="540" w:firstLineChars="200"/>
        <w:rPr>
          <w:rFonts w:ascii="Times New Roman" w:eastAsia="Times New Roman"/>
          <w:color w:val="auto"/>
          <w:sz w:val="32"/>
          <w:lang w:eastAsia="zh-CN"/>
        </w:rPr>
      </w:pPr>
      <w:r>
        <w:rPr>
          <w:color w:val="auto"/>
          <w:sz w:val="27"/>
          <w:lang w:eastAsia="zh-CN"/>
        </w:rPr>
        <w:t xml:space="preserve">附件 </w:t>
      </w:r>
      <w:r>
        <w:rPr>
          <w:rFonts w:ascii="Times New Roman" w:eastAsia="Times New Roman"/>
          <w:color w:val="auto"/>
          <w:sz w:val="32"/>
          <w:lang w:eastAsia="zh-CN"/>
        </w:rPr>
        <w:t>1 :</w:t>
      </w:r>
    </w:p>
    <w:p>
      <w:pPr>
        <w:spacing w:before="26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巢湖学院毕业生就业创业工作考核评分表</w:t>
      </w:r>
    </w:p>
    <w:bookmarkEnd w:id="0"/>
    <w:tbl>
      <w:tblPr>
        <w:tblStyle w:val="5"/>
        <w:tblpPr w:leftFromText="180" w:rightFromText="180" w:vertAnchor="page" w:horzAnchor="page" w:tblpX="911" w:tblpY="2663"/>
        <w:tblOverlap w:val="never"/>
        <w:tblW w:w="9810" w:type="dxa"/>
        <w:tblInd w:w="0" w:type="dxa"/>
        <w:tblBorders>
          <w:top w:val="single" w:color="4B3F4F" w:sz="6" w:space="0"/>
          <w:left w:val="single" w:color="4B3F4F" w:sz="6" w:space="0"/>
          <w:bottom w:val="single" w:color="4B3F4F" w:sz="6" w:space="0"/>
          <w:right w:val="single" w:color="4B3F4F" w:sz="6" w:space="0"/>
          <w:insideH w:val="single" w:color="4B3F4F" w:sz="6" w:space="0"/>
          <w:insideV w:val="single" w:color="4B3F4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885"/>
        <w:gridCol w:w="669"/>
        <w:gridCol w:w="996"/>
        <w:gridCol w:w="4560"/>
        <w:gridCol w:w="960"/>
        <w:gridCol w:w="960"/>
      </w:tblGrid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left w:val="single" w:color="6B6077" w:sz="4" w:space="0"/>
              <w:bottom w:val="single" w:color="5B4F5B" w:sz="6" w:space="0"/>
              <w:right w:val="single" w:color="6B6077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一级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885" w:type="dxa"/>
            <w:tcBorders>
              <w:left w:val="single" w:color="6B6077" w:sz="8" w:space="0"/>
              <w:bottom w:val="single" w:color="5B4F5B" w:sz="6" w:space="0"/>
              <w:right w:val="single" w:color="604F7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二级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669" w:type="dxa"/>
            <w:tcBorders>
              <w:left w:val="single" w:color="604F70" w:sz="4" w:space="0"/>
              <w:bottom w:val="single" w:color="5B4F5B" w:sz="6" w:space="0"/>
              <w:right w:val="single" w:color="605464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996" w:type="dxa"/>
            <w:tcBorders>
              <w:left w:val="single" w:color="605464" w:sz="4" w:space="0"/>
              <w:bottom w:val="single" w:color="5B4F5B" w:sz="6" w:space="0"/>
              <w:right w:val="single" w:color="6B607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考核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容</w:t>
            </w:r>
          </w:p>
        </w:tc>
        <w:tc>
          <w:tcPr>
            <w:tcW w:w="4560" w:type="dxa"/>
            <w:tcBorders>
              <w:left w:val="single" w:color="6B6070" w:sz="4" w:space="0"/>
              <w:bottom w:val="single" w:color="5B4F5B" w:sz="6" w:space="0"/>
              <w:right w:val="single" w:color="67546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考核订分标准</w:t>
            </w:r>
          </w:p>
        </w:tc>
        <w:tc>
          <w:tcPr>
            <w:tcW w:w="960" w:type="dxa"/>
            <w:tcBorders>
              <w:left w:val="single" w:color="675467" w:sz="6" w:space="0"/>
              <w:bottom w:val="single" w:color="5B4F5B" w:sz="6" w:space="0"/>
              <w:right w:val="single" w:color="4F4467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自评分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（附支撑材料）</w:t>
            </w:r>
          </w:p>
        </w:tc>
        <w:tc>
          <w:tcPr>
            <w:tcW w:w="960" w:type="dxa"/>
            <w:tcBorders>
              <w:left w:val="single" w:color="4F4467" w:sz="4" w:space="0"/>
              <w:bottom w:val="single" w:color="5B4F5B" w:sz="6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复核分</w:t>
            </w: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80" w:type="dxa"/>
            <w:vMerge w:val="restart"/>
            <w:tcBorders>
              <w:top w:val="single" w:color="5B4F5B" w:sz="6" w:space="0"/>
              <w:left w:val="single" w:color="6B6077" w:sz="4" w:space="0"/>
              <w:bottom w:val="single" w:color="2F2B38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制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885" w:type="dxa"/>
            <w:tcBorders>
              <w:top w:val="single" w:color="5B4F5B" w:sz="6" w:space="0"/>
              <w:left w:val="single" w:color="7C708C" w:sz="4" w:space="0"/>
              <w:bottom w:val="single" w:color="574B77" w:sz="4" w:space="0"/>
              <w:right w:val="single" w:color="776B74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机制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建设</w:t>
            </w:r>
          </w:p>
        </w:tc>
        <w:tc>
          <w:tcPr>
            <w:tcW w:w="669" w:type="dxa"/>
            <w:tcBorders>
              <w:top w:val="single" w:color="5B4F5B" w:sz="6" w:space="0"/>
              <w:left w:val="single" w:color="776B74" w:sz="6" w:space="0"/>
              <w:bottom w:val="single" w:color="4F445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6" w:type="dxa"/>
            <w:tcBorders>
              <w:top w:val="single" w:color="5B4F5B" w:sz="6" w:space="0"/>
              <w:left w:val="single" w:color="837C80" w:sz="4" w:space="0"/>
              <w:bottom w:val="single" w:color="4F4454" w:sz="4" w:space="0"/>
              <w:right w:val="single" w:color="6B607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落实一把手工程，就业创业工作制度体系健全</w:t>
            </w:r>
          </w:p>
        </w:tc>
        <w:tc>
          <w:tcPr>
            <w:tcW w:w="4560" w:type="dxa"/>
            <w:tcBorders>
              <w:top w:val="single" w:color="5B4F5B" w:sz="6" w:space="0"/>
              <w:left w:val="single" w:color="6B6070" w:sz="4" w:space="0"/>
              <w:bottom w:val="single" w:color="4F4454" w:sz="4" w:space="0"/>
              <w:right w:val="single" w:color="675467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有配套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就业创业工作规章制度，职责明确(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分）；落实就业创业工作目标责任，就业创业工作权责明确（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分）。</w:t>
            </w:r>
          </w:p>
        </w:tc>
        <w:tc>
          <w:tcPr>
            <w:tcW w:w="960" w:type="dxa"/>
            <w:tcBorders>
              <w:top w:val="single" w:color="5B4F5B" w:sz="6" w:space="0"/>
              <w:left w:val="single" w:color="675467" w:sz="6" w:space="0"/>
              <w:bottom w:val="single" w:color="4F4454" w:sz="4" w:space="0"/>
              <w:right w:val="single" w:color="4F485B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single" w:color="5B4F5B" w:sz="6" w:space="0"/>
              <w:left w:val="single" w:color="4F485B" w:sz="4" w:space="0"/>
              <w:bottom w:val="single" w:color="4F4454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80" w:type="dxa"/>
            <w:vMerge w:val="continue"/>
            <w:tcBorders>
              <w:top w:val="nil"/>
              <w:left w:val="single" w:color="6B6077" w:sz="4" w:space="0"/>
              <w:bottom w:val="single" w:color="2F2B38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574B77" w:sz="4" w:space="0"/>
              <w:left w:val="single" w:color="675787" w:sz="6" w:space="0"/>
              <w:bottom w:val="single" w:color="443F44" w:sz="4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组织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状况</w:t>
            </w:r>
          </w:p>
        </w:tc>
        <w:tc>
          <w:tcPr>
            <w:tcW w:w="669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6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定期研究，分析就业创业情况，形成就业创业工作档案</w:t>
            </w:r>
          </w:p>
        </w:tc>
        <w:tc>
          <w:tcPr>
            <w:tcW w:w="4560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有完备的会议记录、计划总结、工作方案等资料（0.5分/项）；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党政联席会议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专题研究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就业创业工作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至少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次（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分）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6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80" w:type="dxa"/>
            <w:vMerge w:val="restart"/>
            <w:tcBorders>
              <w:top w:val="nil"/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容</w:t>
            </w:r>
          </w:p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绩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82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Merge w:val="restart"/>
            <w:tcBorders>
              <w:top w:val="single" w:color="574B77" w:sz="4" w:space="0"/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就业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669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6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日常管理</w:t>
            </w:r>
          </w:p>
        </w:tc>
        <w:tc>
          <w:tcPr>
            <w:tcW w:w="4560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就业协议书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等就业材料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的领取发放、毕业生生源信息采集、核对；教师资格证发放、求职补贴材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料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上交、报到证发放、跟踪调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表发放回收、职业规划设计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大赛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暨创业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大赛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等赛事组织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实施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情况良好，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落实不到位的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扣0.5分/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；就业工作人员无故不参加相关工作例会，扣0.5分/人次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扣完为止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有完整的毕业生文明离校方案，1分；毕业生文明离校效果良好，1分。</w:t>
            </w:r>
          </w:p>
        </w:tc>
        <w:tc>
          <w:tcPr>
            <w:tcW w:w="96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780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675787" w:sz="6" w:space="0"/>
              <w:bottom w:val="single" w:color="443F44" w:sz="4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69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6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毕业生派遣编制及就业材料</w:t>
            </w:r>
          </w:p>
        </w:tc>
        <w:tc>
          <w:tcPr>
            <w:tcW w:w="4560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生源数据中，信息不准确，扣0.5分/个；多报、漏报，扣0.5分/个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发现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虚假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就业协议、就业证明等，扣0.5分/次；扣完为止。</w:t>
            </w:r>
          </w:p>
        </w:tc>
        <w:tc>
          <w:tcPr>
            <w:tcW w:w="96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80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Merge w:val="restart"/>
            <w:tcBorders>
              <w:top w:val="single" w:color="574B77" w:sz="4" w:space="0"/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就业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669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6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就业创业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讲座等活动</w:t>
            </w:r>
          </w:p>
        </w:tc>
        <w:tc>
          <w:tcPr>
            <w:tcW w:w="4560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举办就业创业讲座，邀请企业家、职业规划专家来校报告，举办优秀华业生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校友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典型事迹报告会等，加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分/次；加满为止。</w:t>
            </w:r>
          </w:p>
        </w:tc>
        <w:tc>
          <w:tcPr>
            <w:tcW w:w="96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80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675787" w:sz="6" w:space="0"/>
              <w:bottom w:val="single" w:color="443F44" w:sz="4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69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3分</w:t>
            </w:r>
          </w:p>
        </w:tc>
        <w:tc>
          <w:tcPr>
            <w:tcW w:w="996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困难毕业生就业帮扶</w:t>
            </w:r>
          </w:p>
        </w:tc>
        <w:tc>
          <w:tcPr>
            <w:tcW w:w="4560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建立特殊困难毕业生就业帮扶档案（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分）；开展有效的帮扶活动（1分）；毕业生求职创业补贴工作过程无错误（1分，错误的扣0.2分/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处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扣完为止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6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80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Merge w:val="restart"/>
            <w:tcBorders>
              <w:top w:val="single" w:color="574B77" w:sz="4" w:space="0"/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就业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市场</w:t>
            </w:r>
          </w:p>
        </w:tc>
        <w:tc>
          <w:tcPr>
            <w:tcW w:w="669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6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校园招聘会</w:t>
            </w:r>
          </w:p>
        </w:tc>
        <w:tc>
          <w:tcPr>
            <w:tcW w:w="4560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毕业生人数小于300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人（含）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的学院，学年招聘会不少于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场；毕业生大于300人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不含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的学院，学年招聘会不少于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场；达标得3分，少一场扣1分，扣完为止；多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场加1分，加满为止。场均参加人数不少于20人，不达标扣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分（签到留存）。学年专场招聘活动提供岗位数应超过本学院毕业生人数的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%，不达标扣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96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80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69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6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就业基地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建设</w:t>
            </w:r>
          </w:p>
        </w:tc>
        <w:tc>
          <w:tcPr>
            <w:tcW w:w="4560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新增实习就业基地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创新创业基地，1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积极进行基地维护，1个/2分，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加满为止。</w:t>
            </w:r>
          </w:p>
        </w:tc>
        <w:tc>
          <w:tcPr>
            <w:tcW w:w="96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80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69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6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网站建设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及信息发布</w:t>
            </w:r>
          </w:p>
        </w:tc>
        <w:tc>
          <w:tcPr>
            <w:tcW w:w="4560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无就业专栏，扣3分；有就业专栏的，网站内容至少每周更新一次，否则扣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分/1次。扣完为止。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多渠道收集就业信息，每年公布的就业岗位数与毕业生数应不低于1.5:1，未达标扣2分。</w:t>
            </w:r>
          </w:p>
        </w:tc>
        <w:tc>
          <w:tcPr>
            <w:tcW w:w="96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</w:tbl>
    <w:p>
      <w:pPr>
        <w:pStyle w:val="6"/>
        <w:spacing w:before="75" w:line="225" w:lineRule="auto"/>
        <w:ind w:right="161"/>
        <w:jc w:val="both"/>
        <w:rPr>
          <w:rFonts w:hint="eastAsia" w:ascii="宋体" w:hAnsi="宋体" w:eastAsia="宋体" w:cs="宋体"/>
          <w:color w:val="auto"/>
          <w:sz w:val="26"/>
          <w:lang w:eastAsia="zh-CN"/>
        </w:rPr>
        <w:sectPr>
          <w:pgSz w:w="11420" w:h="16680"/>
          <w:pgMar w:top="1580" w:right="520" w:bottom="280" w:left="780" w:header="720" w:footer="720" w:gutter="0"/>
          <w:cols w:space="720" w:num="1"/>
        </w:sectPr>
      </w:pPr>
    </w:p>
    <w:p>
      <w:pPr>
        <w:kinsoku w:val="0"/>
        <w:overflowPunct w:val="0"/>
        <w:spacing w:before="17" w:line="369" w:lineRule="auto"/>
        <w:textAlignment w:val="bottom"/>
        <w:rPr>
          <w:rFonts w:hint="eastAsia" w:ascii="宋体" w:hAnsi="宋体" w:eastAsia="宋体" w:cs="宋体"/>
          <w:color w:val="auto"/>
          <w:sz w:val="34"/>
          <w:lang w:eastAsia="zh-CN"/>
        </w:rPr>
        <w:sectPr>
          <w:type w:val="continuous"/>
          <w:pgSz w:w="11420" w:h="16680"/>
          <w:pgMar w:top="1580" w:right="940" w:bottom="280" w:left="340" w:header="720" w:footer="720" w:gutter="0"/>
          <w:cols w:equalWidth="0" w:num="2">
            <w:col w:w="880" w:space="6357"/>
            <w:col w:w="2903"/>
          </w:cols>
        </w:sectPr>
      </w:pPr>
    </w:p>
    <w:tbl>
      <w:tblPr>
        <w:tblStyle w:val="4"/>
        <w:tblW w:w="9810" w:type="dxa"/>
        <w:tblInd w:w="-53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85"/>
        <w:gridCol w:w="675"/>
        <w:gridCol w:w="990"/>
        <w:gridCol w:w="4560"/>
        <w:gridCol w:w="960"/>
        <w:gridCol w:w="9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</w:trPr>
        <w:tc>
          <w:tcPr>
            <w:tcW w:w="78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就业率</w:t>
            </w: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毕业生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就业情况</w:t>
            </w:r>
          </w:p>
        </w:tc>
        <w:tc>
          <w:tcPr>
            <w:tcW w:w="45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当年初次就业率达8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%，协议就业率达40%；上年年终就业率达9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%，协议就业率达42%；加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当年初次就业率达9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%，协议就业率达42%；上年年终就业率达9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%，协议就业率达44%；加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当年初次就业率达9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%，协议就业率达44%；上年年终就业率达9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%，协议就业率达46%；加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分。（其中，初次就业率、年终就业率和协议就业率有2项不达标即不得分）。</w:t>
            </w: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exact"/>
        </w:trPr>
        <w:tc>
          <w:tcPr>
            <w:tcW w:w="780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就业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就业质量情况</w:t>
            </w:r>
          </w:p>
        </w:tc>
        <w:tc>
          <w:tcPr>
            <w:tcW w:w="4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考研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录取率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上限为8分，超过6%，得8分；超过4%，得6分；超过2%，得4分；低于2%，得2分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西部计划、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国家基层项目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、公务员、应征入伍（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毕业生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、事业单位（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教师考编）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、特岗教师、三支一扶、选调生（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1分/人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国有企业、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校企校地合作单位（正式挂牌并签协议）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等，0.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分/人；加满为止。</w:t>
            </w: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80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调查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调研</w:t>
            </w: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就业工作调查</w:t>
            </w:r>
          </w:p>
        </w:tc>
        <w:tc>
          <w:tcPr>
            <w:tcW w:w="4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按要求开展毕业生就业跟踪调查（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分）；认真完成上级部门下达的调查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（2分）。</w:t>
            </w: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780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工作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宣传</w:t>
            </w: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就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创业典型宣传</w:t>
            </w:r>
          </w:p>
        </w:tc>
        <w:tc>
          <w:tcPr>
            <w:tcW w:w="4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重视就业创业工作效果或人物事迹宣传，省级（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以上报道每篇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分；市级报道每篇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分；校级报道每篇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分；加满为止。</w:t>
            </w: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80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3分</w:t>
            </w: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工作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宣传</w:t>
            </w:r>
          </w:p>
        </w:tc>
        <w:tc>
          <w:tcPr>
            <w:tcW w:w="4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重视就业创业工作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过程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宣传，省级（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以上报道每篇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分；市级报道每篇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分；校级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或自媒体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报道每篇0.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分；加满为止。</w:t>
            </w: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80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创业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成果</w:t>
            </w: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毕业生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创业</w:t>
            </w:r>
          </w:p>
        </w:tc>
        <w:tc>
          <w:tcPr>
            <w:tcW w:w="4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毕业生进行工商注册自主创业的，每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个2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分，加满为止。</w:t>
            </w: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80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创业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培训</w:t>
            </w:r>
          </w:p>
        </w:tc>
        <w:tc>
          <w:tcPr>
            <w:tcW w:w="4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参加SYB等创业培训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比例超过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应参训人数的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13%得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分；学院投身就业创业类课程教育的教师总课时数达到3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课时得2分（参加校级及以上课程教学比赛，计5课时/人次）</w:t>
            </w: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8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满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意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度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满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意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度</w:t>
            </w: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毕业生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4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毕业生对学校就业工作满意度达85%以上得2分，每增加1%加0.5分，加满为止；每减少1%扣0.5分，扣完为止。</w:t>
            </w: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80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用人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单位满意度</w:t>
            </w:r>
          </w:p>
        </w:tc>
        <w:tc>
          <w:tcPr>
            <w:tcW w:w="4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用人单位对学校就业工作满意度达85%以上得2分，每增加1%加0.5分，加满为止；每减少1%扣0.5分，扣完为止。</w:t>
            </w: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总分</w:t>
            </w:r>
          </w:p>
        </w:tc>
        <w:tc>
          <w:tcPr>
            <w:tcW w:w="885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75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考核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等级</w:t>
            </w:r>
          </w:p>
        </w:tc>
        <w:tc>
          <w:tcPr>
            <w:tcW w:w="9030" w:type="dxa"/>
            <w:gridSpan w:val="6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生就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业（创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业）工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作领导组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意见</w:t>
            </w:r>
          </w:p>
        </w:tc>
        <w:tc>
          <w:tcPr>
            <w:tcW w:w="9030" w:type="dxa"/>
            <w:gridSpan w:val="6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 xml:space="preserve">年     月    日          </w:t>
            </w:r>
          </w:p>
        </w:tc>
      </w:tr>
    </w:tbl>
    <w:p/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64368"/>
    <w:rsid w:val="07964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2018-12-06T08:28:00Z</dcterms:created>
  <dc:creator>小叮当1395817279</dc:creator>
  <cp:lastModifiedBy>小叮当1395817279</cp:lastModifiedBy>
  <dcterms:modified xsi:type="dcterms:W3CDTF">2018-12-06T08:54:31Z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