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5B" w:rsidRPr="00282BA9" w:rsidRDefault="009F5D5B" w:rsidP="009F5D5B">
      <w:pPr>
        <w:topLinePunct/>
        <w:adjustRightInd w:val="0"/>
        <w:snapToGrid w:val="0"/>
        <w:spacing w:beforeLines="80" w:afterLines="80" w:line="4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0228EB">
        <w:rPr>
          <w:rFonts w:ascii="仿宋_GB2312" w:eastAsia="仿宋_GB2312" w:hAnsi="黑体" w:hint="eastAsia"/>
          <w:b/>
          <w:bCs/>
          <w:sz w:val="24"/>
          <w:szCs w:val="24"/>
        </w:rPr>
        <w:t>附件1：</w:t>
      </w:r>
      <w:r>
        <w:rPr>
          <w:rFonts w:ascii="仿宋_GB2312" w:eastAsia="仿宋_GB2312" w:hAnsi="黑体" w:hint="eastAsia"/>
          <w:b/>
          <w:bCs/>
          <w:sz w:val="24"/>
          <w:szCs w:val="24"/>
        </w:rPr>
        <w:t xml:space="preserve">                                  </w:t>
      </w:r>
      <w:r w:rsidRPr="000228EB">
        <w:rPr>
          <w:rFonts w:ascii="仿宋_GB2312" w:eastAsia="仿宋_GB2312" w:hAnsi="黑体" w:hint="eastAsia"/>
          <w:b/>
          <w:bCs/>
          <w:sz w:val="24"/>
          <w:szCs w:val="24"/>
        </w:rPr>
        <w:t>本科教学工作审核评估范围</w:t>
      </w:r>
      <w:r>
        <w:rPr>
          <w:rFonts w:ascii="仿宋_GB2312" w:eastAsia="仿宋_GB2312" w:hAnsi="黑体" w:hint="eastAsia"/>
          <w:b/>
          <w:bCs/>
          <w:sz w:val="24"/>
          <w:szCs w:val="24"/>
        </w:rPr>
        <w:t>及任务分解</w:t>
      </w:r>
    </w:p>
    <w:tbl>
      <w:tblPr>
        <w:tblW w:w="13934" w:type="dxa"/>
        <w:jc w:val="center"/>
        <w:tblInd w:w="-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552"/>
        <w:gridCol w:w="5528"/>
        <w:gridCol w:w="1276"/>
        <w:gridCol w:w="1494"/>
        <w:gridCol w:w="1701"/>
      </w:tblGrid>
      <w:tr w:rsidR="009F5D5B" w:rsidRPr="00282BA9" w:rsidTr="005B15FA">
        <w:trPr>
          <w:cantSplit/>
          <w:trHeight w:val="569"/>
          <w:jc w:val="center"/>
        </w:trPr>
        <w:tc>
          <w:tcPr>
            <w:tcW w:w="1383" w:type="dxa"/>
            <w:vAlign w:val="center"/>
          </w:tcPr>
          <w:p w:rsidR="009F5D5B" w:rsidRPr="000228EB" w:rsidRDefault="009F5D5B" w:rsidP="005B15FA">
            <w:pPr>
              <w:topLinePunct/>
              <w:spacing w:beforeLines="50" w:afterLines="50"/>
              <w:ind w:hanging="11"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 w:rsidRPr="000228EB"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审核项目</w:t>
            </w: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spacing w:beforeLines="50" w:afterLines="50"/>
              <w:ind w:hanging="11"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 w:rsidRPr="000228EB"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审核要素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spacing w:beforeLines="50" w:afterLines="50"/>
              <w:ind w:hanging="11"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 w:rsidRPr="000228EB"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审核要点</w:t>
            </w:r>
          </w:p>
        </w:tc>
        <w:tc>
          <w:tcPr>
            <w:tcW w:w="1276" w:type="dxa"/>
          </w:tcPr>
          <w:p w:rsidR="009F5D5B" w:rsidRPr="000228EB" w:rsidRDefault="009F5D5B" w:rsidP="005B15FA">
            <w:pPr>
              <w:topLinePunct/>
              <w:spacing w:beforeLines="50" w:afterLines="50"/>
              <w:ind w:hanging="11"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责任领导</w:t>
            </w:r>
          </w:p>
        </w:tc>
        <w:tc>
          <w:tcPr>
            <w:tcW w:w="1494" w:type="dxa"/>
          </w:tcPr>
          <w:p w:rsidR="009F5D5B" w:rsidRPr="000228EB" w:rsidRDefault="009F5D5B" w:rsidP="005B15FA">
            <w:pPr>
              <w:topLinePunct/>
              <w:spacing w:beforeLines="50" w:afterLines="50"/>
              <w:ind w:hanging="11"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责任单位</w:t>
            </w:r>
          </w:p>
        </w:tc>
        <w:tc>
          <w:tcPr>
            <w:tcW w:w="1701" w:type="dxa"/>
          </w:tcPr>
          <w:p w:rsidR="009F5D5B" w:rsidRPr="000228EB" w:rsidRDefault="009F5D5B" w:rsidP="005B15FA">
            <w:pPr>
              <w:topLinePunct/>
              <w:spacing w:beforeLines="50" w:afterLines="50"/>
              <w:ind w:hanging="11"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协助单位</w:t>
            </w:r>
          </w:p>
        </w:tc>
      </w:tr>
      <w:tr w:rsidR="009F5D5B" w:rsidRPr="00282BA9" w:rsidTr="005B15FA">
        <w:trPr>
          <w:cantSplit/>
          <w:trHeight w:val="804"/>
          <w:jc w:val="center"/>
        </w:trPr>
        <w:tc>
          <w:tcPr>
            <w:tcW w:w="1383" w:type="dxa"/>
            <w:vMerge w:val="restart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1.定位与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目标</w:t>
            </w: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1.1办学定位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（1）学校办学方向、办学定位及确定依据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（2）办学定位在学校发展规划中的体现</w:t>
            </w:r>
          </w:p>
        </w:tc>
        <w:tc>
          <w:tcPr>
            <w:tcW w:w="1276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朱灿平</w:t>
            </w: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发</w:t>
            </w:r>
            <w:proofErr w:type="gramStart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办公室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各相关单位</w:t>
            </w:r>
          </w:p>
        </w:tc>
      </w:tr>
      <w:tr w:rsidR="009F5D5B" w:rsidRPr="00282BA9" w:rsidTr="005B15FA">
        <w:trPr>
          <w:cantSplit/>
          <w:trHeight w:val="845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1.2培养目标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（1）学校人才</w:t>
            </w:r>
            <w:proofErr w:type="gramStart"/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培养总</w:t>
            </w:r>
            <w:proofErr w:type="gramEnd"/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目标及确定依据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（2）专业培养目标、标准及确定依据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26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1.3人才培养中心地位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leftChars="-6" w:left="420" w:hangingChars="206" w:hanging="43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（1）落实学校人才培养中心地位的政策与措施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（2）人才培养中心地位的体现与效果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（3）学校领导对本科教学的重视情况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办公室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各相关单位</w:t>
            </w:r>
          </w:p>
        </w:tc>
      </w:tr>
      <w:tr w:rsidR="009F5D5B" w:rsidRPr="00282BA9" w:rsidTr="005B15FA">
        <w:trPr>
          <w:cantSplit/>
          <w:trHeight w:val="830"/>
          <w:jc w:val="center"/>
        </w:trPr>
        <w:tc>
          <w:tcPr>
            <w:tcW w:w="1383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2.师资队伍</w:t>
            </w: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2.1数量与结构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（1）教师队伍的数量与结构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（2）教师队伍建设规划及发展态势</w:t>
            </w:r>
          </w:p>
        </w:tc>
        <w:tc>
          <w:tcPr>
            <w:tcW w:w="1276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祝家贵</w:t>
            </w: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人事处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843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2.2教育教学水平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（1）专任教师的专业水平与教学能力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（2）学校师德师风建设措施与效果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人事处</w:t>
            </w:r>
          </w:p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工  会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840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2.3教师教学投入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（1）教授、副教授为本科生上课情况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leftChars="-6" w:left="420" w:hangingChars="206" w:hanging="43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（2）教师开展教学研究、参与教学改革与建设情况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838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2.4教师发展与服务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leftChars="-6" w:left="420" w:hangingChars="206" w:hanging="43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（1）提升教师教学能力和专业水平的政策措施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（2）服务教师职业生涯发展的政策措施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人事处</w:t>
            </w:r>
          </w:p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学工部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49"/>
          <w:jc w:val="center"/>
        </w:trPr>
        <w:tc>
          <w:tcPr>
            <w:tcW w:w="1383" w:type="dxa"/>
            <w:vMerge w:val="restart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3.教学资源</w:t>
            </w: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3.教学资源</w:t>
            </w: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lastRenderedPageBreak/>
              <w:t>3.1教学经费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（1）教学经费投入及保障机制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（2）学校教学经费年度变化情况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（3）教学经费分配方式、比例及使用效益</w:t>
            </w:r>
          </w:p>
        </w:tc>
        <w:tc>
          <w:tcPr>
            <w:tcW w:w="1276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黄志圣</w:t>
            </w: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财务处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10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3.2教学设施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（1）教学设施满足教学需要情况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（2）教学、科研设施的开放程度及利用情况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（3）教学信息化条件及资源建设</w:t>
            </w:r>
          </w:p>
        </w:tc>
        <w:tc>
          <w:tcPr>
            <w:tcW w:w="1276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徐柳凡</w:t>
            </w:r>
            <w:proofErr w:type="gramEnd"/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现教中心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教务处、科技处</w:t>
            </w:r>
          </w:p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国资处、后勤处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39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3.3专业设置与培养方案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（1）专业建设规划与执行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leftChars="-6" w:left="420" w:hangingChars="206" w:hanging="43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（2）专业设置与结构调整，优势专业与新专业建设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（3）培养方案的制定、执行与调整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27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="10" w:after="10" w:line="280" w:lineRule="exact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3.4课程资源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（1）课程建设规划与执行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（2）课程的数量、结构及优质课程资源建设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（3）教材建设与选用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15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="10" w:after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szCs w:val="21"/>
              </w:rPr>
              <w:t>3.5社会资源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（1）合作办学、合作育人的措施与效果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（2）共建教学资源情况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（3）社会捐赠情况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科技处</w:t>
            </w:r>
          </w:p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办公室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31"/>
          <w:jc w:val="center"/>
        </w:trPr>
        <w:tc>
          <w:tcPr>
            <w:tcW w:w="1383" w:type="dxa"/>
            <w:vMerge w:val="restart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4.培养过程</w:t>
            </w: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4.1教学改革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（1）教学改革的总体思路及政策措施</w:t>
            </w:r>
          </w:p>
          <w:p w:rsidR="009F5D5B" w:rsidRPr="000228EB" w:rsidRDefault="009F5D5B" w:rsidP="005B15FA">
            <w:pPr>
              <w:topLinePunct/>
              <w:adjustRightInd w:val="0"/>
              <w:snapToGrid w:val="0"/>
              <w:spacing w:beforeLines="10" w:afterLines="10" w:line="280" w:lineRule="exact"/>
              <w:ind w:leftChars="-5" w:left="414" w:hangingChars="202" w:hanging="424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（2）人才培养模式改革，人才培养体制、机制改革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（3）教学及管理信息化</w:t>
            </w:r>
          </w:p>
        </w:tc>
        <w:tc>
          <w:tcPr>
            <w:tcW w:w="1276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徐柳凡</w:t>
            </w:r>
            <w:proofErr w:type="gramEnd"/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现教中心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402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4.2课堂教学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（1）教学大纲的制订与执行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left="420" w:hangingChars="200" w:hanging="420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（2）教学内容对人才培养目标的体现，科研转化教学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（3）教师教学方法，学生学习方式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（4）考试考核的方式方法及管理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24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4.3实践教学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（1）实践教学体系建设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（2）实验教学与实验室开放情况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leftChars="-6" w:left="420" w:hangingChars="206" w:hanging="43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</w:t>
            </w:r>
            <w:r w:rsidRPr="00116711">
              <w:rPr>
                <w:rFonts w:ascii="仿宋_GB2312" w:eastAsia="仿宋_GB2312" w:hAnsi="仿宋" w:cs="Arial" w:hint="eastAsia"/>
                <w:spacing w:val="-4"/>
                <w:kern w:val="0"/>
                <w:szCs w:val="21"/>
              </w:rPr>
              <w:t>实习实训、社会实践、毕业设计（论文）的落实及效果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40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4.4第二课堂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（1）第二课堂育人体系建设与保障措施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leftChars="-6" w:left="420" w:hangingChars="206" w:hanging="43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（2）社团建设与校园文化、科技活动及育人效果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（3）学生国内外交流学习情况</w:t>
            </w:r>
          </w:p>
        </w:tc>
        <w:tc>
          <w:tcPr>
            <w:tcW w:w="1276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朱灿平</w:t>
            </w: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团委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教务处、宣传部科技处、国继院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840"/>
          <w:jc w:val="center"/>
        </w:trPr>
        <w:tc>
          <w:tcPr>
            <w:tcW w:w="1383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lastRenderedPageBreak/>
              <w:t>5.学生发展</w:t>
            </w: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5.1招生及生源情况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（1）学校总体生源状况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（2）各专业生源数量及特征</w:t>
            </w:r>
          </w:p>
        </w:tc>
        <w:tc>
          <w:tcPr>
            <w:tcW w:w="1276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朱灿平</w:t>
            </w: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9F5D5B">
        <w:trPr>
          <w:cantSplit/>
          <w:trHeight w:val="993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5.2学生指导与服务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（1）学生指导与服务的内容及效果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（2）学生指导与服务的组织与条件保障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（3）学生对指导与服务的评价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学工部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团委、教务处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45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5.3学风与学习效果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（1）学风建设的措施与效果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（2）学生学业成绩及综合素质表现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（3）学生对自我学习与成长的满意度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学工部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9F5D5B">
        <w:trPr>
          <w:cantSplit/>
          <w:trHeight w:val="669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5.4就业与发展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（1）毕业生就业率与职业发展情况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（2）用人单位对毕业生评价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学工部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419"/>
          <w:jc w:val="center"/>
        </w:trPr>
        <w:tc>
          <w:tcPr>
            <w:tcW w:w="1383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6.质量保障</w:t>
            </w: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6.1教学质量保障体系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（1）质量标准建设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（2）学校质量保障模式及体系结构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（3）质量保障体系的组织、制度建设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（4）教学质量管理队伍建设</w:t>
            </w:r>
          </w:p>
        </w:tc>
        <w:tc>
          <w:tcPr>
            <w:tcW w:w="1276" w:type="dxa"/>
            <w:vMerge w:val="restart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徐柳凡</w:t>
            </w:r>
            <w:proofErr w:type="gramEnd"/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830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6.2质量监控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（1）自我评估及质量监控的内容与方式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（2）自我评估及质量监控的实施效果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发</w:t>
            </w:r>
            <w:proofErr w:type="gramStart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5B15FA">
        <w:trPr>
          <w:cantSplit/>
          <w:trHeight w:val="1126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6.3质量信息及利用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（1）校内教学基本状态数据库建设情况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1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（2）质量信息统计、分析、反馈机制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（3）质量信息公开及年度质量报告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发</w:t>
            </w:r>
            <w:proofErr w:type="gramStart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9F5D5B">
        <w:trPr>
          <w:cantSplit/>
          <w:trHeight w:val="699"/>
          <w:jc w:val="center"/>
        </w:trPr>
        <w:tc>
          <w:tcPr>
            <w:tcW w:w="1383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6.4质量改进</w:t>
            </w:r>
          </w:p>
        </w:tc>
        <w:tc>
          <w:tcPr>
            <w:tcW w:w="5528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 xml:space="preserve">（1）质量改进的途径与方法 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（2）质量改进的效果与评价</w:t>
            </w:r>
          </w:p>
        </w:tc>
        <w:tc>
          <w:tcPr>
            <w:tcW w:w="1276" w:type="dxa"/>
            <w:vMerge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280" w:lineRule="exact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各二级学院</w:t>
            </w:r>
          </w:p>
        </w:tc>
      </w:tr>
      <w:tr w:rsidR="009F5D5B" w:rsidRPr="00282BA9" w:rsidTr="009F5D5B">
        <w:trPr>
          <w:cantSplit/>
          <w:trHeight w:val="1110"/>
          <w:jc w:val="center"/>
        </w:trPr>
        <w:tc>
          <w:tcPr>
            <w:tcW w:w="1383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自选特色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项目</w:t>
            </w:r>
          </w:p>
        </w:tc>
        <w:tc>
          <w:tcPr>
            <w:tcW w:w="8080" w:type="dxa"/>
            <w:gridSpan w:val="2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rPr>
                <w:rFonts w:ascii="仿宋_GB2312" w:eastAsia="仿宋_GB2312" w:hAnsi="仿宋" w:cs="Arial"/>
                <w:kern w:val="0"/>
                <w:szCs w:val="21"/>
              </w:rPr>
            </w:pPr>
            <w:r w:rsidRPr="000228EB">
              <w:rPr>
                <w:rFonts w:ascii="仿宋_GB2312" w:eastAsia="仿宋_GB2312" w:hAnsi="仿宋" w:cs="Arial" w:hint="eastAsia"/>
                <w:kern w:val="0"/>
                <w:szCs w:val="21"/>
              </w:rPr>
              <w:t>学校可自行选择有特色的补充项目</w:t>
            </w:r>
          </w:p>
        </w:tc>
        <w:tc>
          <w:tcPr>
            <w:tcW w:w="1276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朱定秀</w:t>
            </w:r>
          </w:p>
        </w:tc>
        <w:tc>
          <w:tcPr>
            <w:tcW w:w="1494" w:type="dxa"/>
            <w:vAlign w:val="center"/>
          </w:tcPr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发</w:t>
            </w:r>
            <w:proofErr w:type="gramStart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处</w:t>
            </w:r>
          </w:p>
        </w:tc>
        <w:tc>
          <w:tcPr>
            <w:tcW w:w="1701" w:type="dxa"/>
            <w:vAlign w:val="center"/>
          </w:tcPr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环巢湖中心</w:t>
            </w:r>
          </w:p>
          <w:p w:rsidR="009F5D5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科技处、教务处</w:t>
            </w:r>
          </w:p>
          <w:p w:rsidR="009F5D5B" w:rsidRPr="000228EB" w:rsidRDefault="009F5D5B" w:rsidP="005B15FA">
            <w:pPr>
              <w:topLinePunct/>
              <w:adjustRightInd w:val="0"/>
              <w:spacing w:beforeLines="10" w:afterLines="10" w:line="180" w:lineRule="auto"/>
              <w:ind w:hanging="13"/>
              <w:jc w:val="center"/>
              <w:rPr>
                <w:rFonts w:ascii="仿宋_GB2312" w:eastAsia="仿宋_GB2312" w:hAnsi="仿宋" w:cs="Arial"/>
                <w:kern w:val="0"/>
                <w:szCs w:val="21"/>
              </w:rPr>
            </w:pPr>
            <w:r>
              <w:rPr>
                <w:rFonts w:ascii="仿宋_GB2312" w:eastAsia="仿宋_GB2312" w:hAnsi="仿宋" w:cs="Arial" w:hint="eastAsia"/>
                <w:kern w:val="0"/>
                <w:szCs w:val="21"/>
              </w:rPr>
              <w:t>宣传部、各二级学院</w:t>
            </w:r>
          </w:p>
        </w:tc>
      </w:tr>
    </w:tbl>
    <w:p w:rsidR="00034394" w:rsidRPr="009F5D5B" w:rsidRDefault="009F5D5B" w:rsidP="009F5D5B">
      <w:pPr>
        <w:pStyle w:val="2"/>
        <w:topLinePunct/>
        <w:adjustRightInd w:val="0"/>
        <w:snapToGrid w:val="0"/>
        <w:spacing w:line="100" w:lineRule="atLeast"/>
        <w:ind w:firstLineChars="0" w:firstLine="0"/>
      </w:pPr>
      <w:r>
        <w:rPr>
          <w:rFonts w:hint="eastAsia"/>
          <w:b/>
          <w:sz w:val="24"/>
          <w:szCs w:val="24"/>
        </w:rPr>
        <w:t xml:space="preserve">   </w:t>
      </w:r>
    </w:p>
    <w:sectPr w:rsidR="00034394" w:rsidRPr="009F5D5B" w:rsidSect="004602EC">
      <w:pgSz w:w="16838" w:h="11906" w:orient="landscape" w:code="9"/>
      <w:pgMar w:top="1134" w:right="1134" w:bottom="1134" w:left="1134" w:header="851" w:footer="680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D5B"/>
    <w:rsid w:val="00034394"/>
    <w:rsid w:val="00183B5B"/>
    <w:rsid w:val="009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F5D5B"/>
    <w:pPr>
      <w:ind w:firstLineChars="200" w:firstLine="560"/>
    </w:pPr>
    <w:rPr>
      <w:rFonts w:ascii="仿宋_GB2312" w:eastAsia="仿宋_GB2312" w:hAnsi="宋体" w:cs="Times New Roman"/>
      <w:sz w:val="28"/>
      <w:szCs w:val="21"/>
    </w:rPr>
  </w:style>
  <w:style w:type="character" w:customStyle="1" w:styleId="2Char">
    <w:name w:val="正文文本缩进 2 Char"/>
    <w:basedOn w:val="a0"/>
    <w:link w:val="2"/>
    <w:rsid w:val="009F5D5B"/>
    <w:rPr>
      <w:rFonts w:ascii="仿宋_GB2312" w:eastAsia="仿宋_GB2312" w:hAnsi="宋体" w:cs="Times New Roman"/>
      <w:sz w:val="28"/>
      <w:szCs w:val="21"/>
    </w:rPr>
  </w:style>
  <w:style w:type="table" w:styleId="a3">
    <w:name w:val="Table Grid"/>
    <w:basedOn w:val="a1"/>
    <w:rsid w:val="009F5D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徐礼节</dc:creator>
  <cp:lastModifiedBy>徐礼节</cp:lastModifiedBy>
  <cp:revision>1</cp:revision>
  <dcterms:created xsi:type="dcterms:W3CDTF">2016-10-11T08:46:00Z</dcterms:created>
  <dcterms:modified xsi:type="dcterms:W3CDTF">2016-10-11T08:50:00Z</dcterms:modified>
</cp:coreProperties>
</file>