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2613">
      <w:pP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2D5F89CE"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2025年巢湖学院重点学科结项验收及中期检查结果一览表</w:t>
      </w:r>
    </w:p>
    <w:bookmarkEnd w:id="0"/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42"/>
        <w:gridCol w:w="774"/>
        <w:gridCol w:w="1921"/>
        <w:gridCol w:w="6249"/>
        <w:gridCol w:w="1678"/>
        <w:gridCol w:w="2063"/>
      </w:tblGrid>
      <w:tr w14:paraId="72B7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2" w:type="pct"/>
            <w:gridSpan w:val="2"/>
            <w:noWrap w:val="0"/>
            <w:vAlign w:val="center"/>
          </w:tcPr>
          <w:p w14:paraId="2FA1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学科性质</w:t>
            </w:r>
          </w:p>
        </w:tc>
        <w:tc>
          <w:tcPr>
            <w:tcW w:w="273" w:type="pct"/>
            <w:noWrap w:val="0"/>
            <w:vAlign w:val="center"/>
          </w:tcPr>
          <w:p w14:paraId="6B91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" w:type="pct"/>
            <w:noWrap w:val="0"/>
            <w:vAlign w:val="center"/>
          </w:tcPr>
          <w:p w14:paraId="5183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2205" w:type="pct"/>
            <w:noWrap w:val="0"/>
            <w:vAlign w:val="center"/>
          </w:tcPr>
          <w:p w14:paraId="3DE8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评审意见</w:t>
            </w:r>
          </w:p>
        </w:tc>
        <w:tc>
          <w:tcPr>
            <w:tcW w:w="592" w:type="pct"/>
            <w:noWrap w:val="0"/>
            <w:vAlign w:val="center"/>
          </w:tcPr>
          <w:p w14:paraId="2F9B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评审结论</w:t>
            </w:r>
          </w:p>
        </w:tc>
        <w:tc>
          <w:tcPr>
            <w:tcW w:w="728" w:type="pct"/>
            <w:noWrap w:val="0"/>
            <w:vAlign w:val="center"/>
          </w:tcPr>
          <w:p w14:paraId="6177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CD5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tblHeader/>
        </w:trPr>
        <w:tc>
          <w:tcPr>
            <w:tcW w:w="260" w:type="pct"/>
            <w:vMerge w:val="restart"/>
            <w:noWrap w:val="0"/>
            <w:vAlign w:val="center"/>
          </w:tcPr>
          <w:p w14:paraId="76D6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终期验收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3EC1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  <w:p w14:paraId="0BC9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273" w:type="pct"/>
            <w:noWrap w:val="0"/>
            <w:vAlign w:val="center"/>
          </w:tcPr>
          <w:p w14:paraId="7F7D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8" w:type="pct"/>
            <w:noWrap w:val="0"/>
            <w:vAlign w:val="center"/>
          </w:tcPr>
          <w:p w14:paraId="66F1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材料科学与工程</w:t>
            </w:r>
          </w:p>
        </w:tc>
        <w:tc>
          <w:tcPr>
            <w:tcW w:w="2205" w:type="pct"/>
            <w:noWrap w:val="0"/>
            <w:vAlign w:val="center"/>
          </w:tcPr>
          <w:p w14:paraId="1291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加强高水平平台申报与建设，汇聚人才，产出高水平成果；加强对外合作交流，争取主办或承办一定规模的学术会议；加强省部级以上人才的引育工作；进一步凝练学科方向，开展有组织科研；加强成果凝练，培育科技奖。</w:t>
            </w:r>
          </w:p>
        </w:tc>
        <w:tc>
          <w:tcPr>
            <w:tcW w:w="592" w:type="pct"/>
            <w:noWrap w:val="0"/>
            <w:vAlign w:val="center"/>
          </w:tcPr>
          <w:p w14:paraId="2DC8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3F7E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1.各学科须严格按照专家意见建议，编制学科年度建设计划，突出目标、内容、任务清单等，尤其明确标志性成果的类型、等级、数量。 </w:t>
            </w:r>
          </w:p>
          <w:p w14:paraId="5DD87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2.校级重点建设学科终期验收结果为合格的，不直接转设为校级重点学科。</w:t>
            </w:r>
          </w:p>
          <w:p w14:paraId="1812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785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tblHeader/>
        </w:trPr>
        <w:tc>
          <w:tcPr>
            <w:tcW w:w="260" w:type="pct"/>
            <w:vMerge w:val="continue"/>
            <w:noWrap w:val="0"/>
            <w:vAlign w:val="center"/>
          </w:tcPr>
          <w:p w14:paraId="383E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76F0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noWrap w:val="0"/>
            <w:vAlign w:val="center"/>
          </w:tcPr>
          <w:p w14:paraId="1A5E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8" w:type="pct"/>
            <w:noWrap w:val="0"/>
            <w:vAlign w:val="center"/>
          </w:tcPr>
          <w:p w14:paraId="6D60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体育学</w:t>
            </w:r>
          </w:p>
        </w:tc>
        <w:tc>
          <w:tcPr>
            <w:tcW w:w="2205" w:type="pct"/>
            <w:noWrap w:val="0"/>
            <w:vAlign w:val="center"/>
          </w:tcPr>
          <w:p w14:paraId="2D08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在人才培养、到账经费以及标志性成果方面成效显著，建议在高水平奖项上发力，形成突破。</w:t>
            </w:r>
          </w:p>
        </w:tc>
        <w:tc>
          <w:tcPr>
            <w:tcW w:w="592" w:type="pct"/>
            <w:noWrap w:val="0"/>
            <w:vAlign w:val="center"/>
          </w:tcPr>
          <w:p w14:paraId="303D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0718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93F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tblHeader/>
        </w:trPr>
        <w:tc>
          <w:tcPr>
            <w:tcW w:w="260" w:type="pct"/>
            <w:vMerge w:val="continue"/>
            <w:noWrap w:val="0"/>
            <w:vAlign w:val="center"/>
          </w:tcPr>
          <w:p w14:paraId="4525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3091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3" w:type="pct"/>
            <w:noWrap w:val="0"/>
            <w:vAlign w:val="center"/>
          </w:tcPr>
          <w:p w14:paraId="502B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8" w:type="pct"/>
            <w:noWrap w:val="0"/>
            <w:vAlign w:val="center"/>
          </w:tcPr>
          <w:p w14:paraId="1366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应用经济学</w:t>
            </w:r>
          </w:p>
        </w:tc>
        <w:tc>
          <w:tcPr>
            <w:tcW w:w="2205" w:type="pct"/>
            <w:noWrap w:val="0"/>
            <w:vAlign w:val="center"/>
          </w:tcPr>
          <w:p w14:paraId="539F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进一步聚焦学科特色、学科方向，开展学科建设；高水平、标志性成果缺乏；加强对博士的管理、培育，让其尽快融入团队。</w:t>
            </w:r>
          </w:p>
        </w:tc>
        <w:tc>
          <w:tcPr>
            <w:tcW w:w="592" w:type="pct"/>
            <w:noWrap w:val="0"/>
            <w:vAlign w:val="center"/>
          </w:tcPr>
          <w:p w14:paraId="4BB6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7C6E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D7B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tblHeader/>
        </w:trPr>
        <w:tc>
          <w:tcPr>
            <w:tcW w:w="260" w:type="pct"/>
            <w:vMerge w:val="continue"/>
            <w:noWrap w:val="0"/>
            <w:vAlign w:val="center"/>
          </w:tcPr>
          <w:p w14:paraId="354D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vMerge w:val="restart"/>
            <w:noWrap w:val="0"/>
            <w:vAlign w:val="center"/>
          </w:tcPr>
          <w:p w14:paraId="15EAA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重点建设学科</w:t>
            </w:r>
          </w:p>
        </w:tc>
        <w:tc>
          <w:tcPr>
            <w:tcW w:w="273" w:type="pct"/>
            <w:noWrap w:val="0"/>
            <w:vAlign w:val="center"/>
          </w:tcPr>
          <w:p w14:paraId="39D9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8" w:type="pct"/>
            <w:noWrap w:val="0"/>
            <w:vAlign w:val="center"/>
          </w:tcPr>
          <w:p w14:paraId="20DB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205" w:type="pct"/>
            <w:noWrap w:val="0"/>
            <w:vAlign w:val="center"/>
          </w:tcPr>
          <w:p w14:paraId="7BCB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进一步凝练学科特色，持续聚焦重点研究方向；加大对高水平、高显著成果的培育；对新引进博士，加强管理，聚焦方向，融入团队，积极开展社会服务。</w:t>
            </w:r>
          </w:p>
        </w:tc>
        <w:tc>
          <w:tcPr>
            <w:tcW w:w="592" w:type="pct"/>
            <w:noWrap w:val="0"/>
            <w:vAlign w:val="center"/>
          </w:tcPr>
          <w:p w14:paraId="16C5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28" w:type="pct"/>
            <w:vMerge w:val="continue"/>
            <w:noWrap w:val="0"/>
            <w:vAlign w:val="top"/>
          </w:tcPr>
          <w:p w14:paraId="57F4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98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tblHeader/>
        </w:trPr>
        <w:tc>
          <w:tcPr>
            <w:tcW w:w="260" w:type="pct"/>
            <w:vMerge w:val="continue"/>
            <w:noWrap w:val="0"/>
            <w:vAlign w:val="center"/>
          </w:tcPr>
          <w:p w14:paraId="7D68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067C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" w:type="pct"/>
            <w:noWrap w:val="0"/>
            <w:vAlign w:val="center"/>
          </w:tcPr>
          <w:p w14:paraId="45C6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8" w:type="pct"/>
            <w:noWrap w:val="0"/>
            <w:vAlign w:val="center"/>
          </w:tcPr>
          <w:p w14:paraId="5D6B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205" w:type="pct"/>
            <w:noWrap w:val="0"/>
            <w:vAlign w:val="center"/>
          </w:tcPr>
          <w:p w14:paraId="1BAE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现有学科建设成果与建设指标差距较大。建议学科聚焦高层次人才建设，在咨政报告、智库等方面发力，依据现有3个研究方向，形成高水平论文、著作、奖项，做好社会服务职能。</w:t>
            </w:r>
          </w:p>
        </w:tc>
        <w:tc>
          <w:tcPr>
            <w:tcW w:w="592" w:type="pct"/>
            <w:noWrap w:val="0"/>
            <w:vAlign w:val="center"/>
          </w:tcPr>
          <w:p w14:paraId="576E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28" w:type="pct"/>
            <w:vMerge w:val="continue"/>
            <w:noWrap w:val="0"/>
            <w:vAlign w:val="top"/>
          </w:tcPr>
          <w:p w14:paraId="0E97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3DA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  <w:lang w:val="en-US" w:eastAsia="zh-CN"/>
        </w:rPr>
        <w:br w:type="page"/>
      </w: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720"/>
        <w:gridCol w:w="2190"/>
        <w:gridCol w:w="5779"/>
        <w:gridCol w:w="1901"/>
        <w:gridCol w:w="1980"/>
      </w:tblGrid>
      <w:tr w14:paraId="1395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500" w:type="dxa"/>
            <w:gridSpan w:val="2"/>
            <w:noWrap w:val="0"/>
            <w:vAlign w:val="center"/>
          </w:tcPr>
          <w:p w14:paraId="1541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学科性质</w:t>
            </w:r>
          </w:p>
        </w:tc>
        <w:tc>
          <w:tcPr>
            <w:tcW w:w="720" w:type="dxa"/>
            <w:noWrap w:val="0"/>
            <w:vAlign w:val="center"/>
          </w:tcPr>
          <w:p w14:paraId="725B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 w14:paraId="7854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5779" w:type="dxa"/>
            <w:noWrap w:val="0"/>
            <w:vAlign w:val="center"/>
          </w:tcPr>
          <w:p w14:paraId="094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评审意见</w:t>
            </w:r>
          </w:p>
        </w:tc>
        <w:tc>
          <w:tcPr>
            <w:tcW w:w="1901" w:type="dxa"/>
            <w:noWrap w:val="0"/>
            <w:vAlign w:val="center"/>
          </w:tcPr>
          <w:p w14:paraId="75D7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评审结论</w:t>
            </w:r>
          </w:p>
        </w:tc>
        <w:tc>
          <w:tcPr>
            <w:tcW w:w="1980" w:type="dxa"/>
            <w:noWrap w:val="0"/>
            <w:vAlign w:val="center"/>
          </w:tcPr>
          <w:p w14:paraId="4E1F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10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tblHeader/>
        </w:trPr>
        <w:tc>
          <w:tcPr>
            <w:tcW w:w="750" w:type="dxa"/>
            <w:vMerge w:val="restart"/>
            <w:noWrap w:val="0"/>
            <w:vAlign w:val="center"/>
          </w:tcPr>
          <w:p w14:paraId="761E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中期检查</w:t>
            </w:r>
          </w:p>
        </w:tc>
        <w:tc>
          <w:tcPr>
            <w:tcW w:w="750" w:type="dxa"/>
            <w:noWrap w:val="0"/>
            <w:vAlign w:val="center"/>
          </w:tcPr>
          <w:p w14:paraId="1E37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重点学科</w:t>
            </w:r>
          </w:p>
        </w:tc>
        <w:tc>
          <w:tcPr>
            <w:tcW w:w="720" w:type="dxa"/>
            <w:noWrap w:val="0"/>
            <w:vAlign w:val="center"/>
          </w:tcPr>
          <w:p w14:paraId="425B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0" w:type="dxa"/>
            <w:noWrap w:val="0"/>
            <w:vAlign w:val="center"/>
          </w:tcPr>
          <w:p w14:paraId="58B8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5779" w:type="dxa"/>
            <w:noWrap w:val="0"/>
            <w:vAlign w:val="center"/>
          </w:tcPr>
          <w:p w14:paraId="78BE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建议进一步加强专业和课程建设，以党建为引领，提升立德树人成效。加强高水平人才引进，组织高水平科研团队，开展有组织科研，更好服务地方经济社会发展。</w:t>
            </w:r>
          </w:p>
        </w:tc>
        <w:tc>
          <w:tcPr>
            <w:tcW w:w="1901" w:type="dxa"/>
            <w:noWrap w:val="0"/>
            <w:vAlign w:val="center"/>
          </w:tcPr>
          <w:p w14:paraId="1611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5BA3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C5C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tblHeader/>
        </w:trPr>
        <w:tc>
          <w:tcPr>
            <w:tcW w:w="750" w:type="dxa"/>
            <w:vMerge w:val="continue"/>
            <w:noWrap w:val="0"/>
            <w:vAlign w:val="center"/>
          </w:tcPr>
          <w:p w14:paraId="746A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64B0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重点建设学科</w:t>
            </w:r>
          </w:p>
        </w:tc>
        <w:tc>
          <w:tcPr>
            <w:tcW w:w="720" w:type="dxa"/>
            <w:noWrap w:val="0"/>
            <w:vAlign w:val="center"/>
          </w:tcPr>
          <w:p w14:paraId="49CE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0" w:type="dxa"/>
            <w:noWrap w:val="0"/>
            <w:vAlign w:val="center"/>
          </w:tcPr>
          <w:p w14:paraId="238D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数  学</w:t>
            </w:r>
          </w:p>
        </w:tc>
        <w:tc>
          <w:tcPr>
            <w:tcW w:w="5779" w:type="dxa"/>
            <w:noWrap w:val="0"/>
            <w:vAlign w:val="center"/>
          </w:tcPr>
          <w:p w14:paraId="5B19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加强专业课程建设，产出以省级教学成果奖为代表的成果；加强高层次人才引进与培育，积极申报省级科研平台，产出标志性科研成果；积极推进社会服务工作。</w:t>
            </w:r>
          </w:p>
        </w:tc>
        <w:tc>
          <w:tcPr>
            <w:tcW w:w="1901" w:type="dxa"/>
            <w:noWrap w:val="0"/>
            <w:vAlign w:val="center"/>
          </w:tcPr>
          <w:p w14:paraId="300D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  <w:p w14:paraId="5288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（有条件通过）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4141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3B7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tblHeader/>
        </w:trPr>
        <w:tc>
          <w:tcPr>
            <w:tcW w:w="750" w:type="dxa"/>
            <w:vMerge w:val="continue"/>
            <w:noWrap w:val="0"/>
            <w:vAlign w:val="center"/>
          </w:tcPr>
          <w:p w14:paraId="2439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52DE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F601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0" w:type="dxa"/>
            <w:noWrap w:val="0"/>
            <w:vAlign w:val="center"/>
          </w:tcPr>
          <w:p w14:paraId="0667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5779" w:type="dxa"/>
            <w:noWrap w:val="0"/>
            <w:vAlign w:val="center"/>
          </w:tcPr>
          <w:p w14:paraId="1272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加强一流专业和教材建设，提升立德树人成效；加强高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层次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人才引进和培育，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科研平台建设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力度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，加强有组织科研，产出高水平科研成果；加强学术交流，提高社会服务能力。</w:t>
            </w:r>
          </w:p>
        </w:tc>
        <w:tc>
          <w:tcPr>
            <w:tcW w:w="1901" w:type="dxa"/>
            <w:noWrap w:val="0"/>
            <w:vAlign w:val="center"/>
          </w:tcPr>
          <w:p w14:paraId="1D35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  <w:p w14:paraId="7A0BC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（有条件通过）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2D2C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17E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tblHeader/>
        </w:trPr>
        <w:tc>
          <w:tcPr>
            <w:tcW w:w="750" w:type="dxa"/>
            <w:vMerge w:val="continue"/>
            <w:noWrap w:val="0"/>
            <w:vAlign w:val="center"/>
          </w:tcPr>
          <w:p w14:paraId="2311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1C2C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FDF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0" w:type="dxa"/>
            <w:noWrap w:val="0"/>
            <w:vAlign w:val="center"/>
          </w:tcPr>
          <w:p w14:paraId="4DC6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5779" w:type="dxa"/>
            <w:noWrap w:val="0"/>
            <w:vAlign w:val="center"/>
          </w:tcPr>
          <w:p w14:paraId="6448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建议进一步加强专业和课程建设，以党建为引领，提升立德树人成效。加强高水平人才引进，组织高水平科研团队，开展有组织科研，更好服务地方经济社会发展。</w:t>
            </w:r>
          </w:p>
        </w:tc>
        <w:tc>
          <w:tcPr>
            <w:tcW w:w="1901" w:type="dxa"/>
            <w:noWrap w:val="0"/>
            <w:vAlign w:val="center"/>
          </w:tcPr>
          <w:p w14:paraId="5446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5AFE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1673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</w:p>
    <w:p w14:paraId="2B2837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401D4E4"/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101FA"/>
    <w:rsid w:val="69E1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2025-05-30T08:06:00Z</dcterms:created>
  <dc:creator>Teacher 张</dc:creator>
  <cp:lastModifiedBy>Teacher 张</cp:lastModifiedBy>
  <dcterms:modified xsi:type="dcterms:W3CDTF">2025-05-30T08:06:59Z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37A17FA932C340D0B1FA536A31246345_11</vt:lpwstr>
  </property>
  <property fmtid="{D5CDD505-2E9C-101B-9397-08002B2CF9AE}" pid="4" name="KSOTemplateDocerSaveRecord">
    <vt:lpwstr>eyJoZGlkIjoiZDVhNzlhOGJmZWU3N2JiN2E0Mzk4ZTA4NDljYjE2MTQiLCJ1c2VySWQiOiIyODU2ODg5MTgifQ==</vt:lpwstr>
  </property>
</Properties>
</file>