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48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附件1</w:t>
      </w:r>
      <w:r>
        <w:rPr>
          <w:rFonts w:hint="eastAsia" w:ascii="方正仿宋_GBK" w:hAnsi="方正仿宋_GBK" w:cs="方正仿宋_GBK"/>
          <w:sz w:val="32"/>
          <w:szCs w:val="4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十五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届大学生职业规划设计大赛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成长赛道方案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比赛内容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二、参赛对象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参赛对象为一、二、三年级学生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三、参赛材料要求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选手在大赛平台（网址：zgs.chsi.com.cn）提交以下参赛材料：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</w:rPr>
        <w:t>生涯发展报告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介绍职业发展规划、实现职业目标的具体行动和成果（PDF格式，文字不超过1500字，如有图表不超过5张）。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2.生涯发展展示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（PPT格式，不超过50MB；可加入视频）。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四、比赛环节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成长赛道设主题陈述、评委提问和天降实习offer（实习意向）环节。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1.主题陈述（8分钟）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：选手结合生涯发展报告进行陈述和展示。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2.评委提问（5分钟）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：评委结合选手陈述和现场表现进行提问。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3.天降offer（3分钟）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：用人单位根据选手表现，决定是否给出实习意向，并对选手作点评。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五、评审标准</w:t>
      </w:r>
    </w:p>
    <w:tbl>
      <w:tblPr>
        <w:tblStyle w:val="4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1.职业目标体现积极正向的价值追求，能够将个人理想与国家需要、经济社会发展相结合。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2.职业目标匹配个人价值观、能力优势、兴趣特点。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1.成长行动符合目标职业在通用素质、就业能力、职业道德等方面的要求。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2.成长行动对弥补个人不足的针对性较强。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3.能够将专业知识应用于成长实践，提高通用素质和就业能力。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4.成长行动内容丰富，取得阶段性成果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契合度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1.行动成果与职业目标的契合程度。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2.总结成长行动中存在的不足和原因，对成长计划进行自我评估和动态调整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意向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现场获得用人单位发放实习意向情况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75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总分值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</w:tbl>
    <w:p/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ZjljZmYyMjY2NGQ4YzY3OTBjZDM2YWIwOGQ4Y2UifQ=="/>
  </w:docVars>
  <w:rsids>
    <w:rsidRoot w:val="6FAF2731"/>
    <w:rsid w:val="6B146DB3"/>
    <w:rsid w:val="6FA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2023-10-09T01:34:00Z</dcterms:created>
  <dc:creator>刘斌</dc:creator>
  <cp:lastModifiedBy>汤源</cp:lastModifiedBy>
  <dcterms:modified xsi:type="dcterms:W3CDTF">2023-10-13T10:13:47Z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0A57BDA37E9243F79F29ACAAFE37C7D7_12</vt:lpwstr>
  </property>
</Properties>
</file>