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5C" w:rsidRDefault="0057165C" w:rsidP="0057165C">
      <w:pPr>
        <w:widowControl/>
        <w:adjustRightInd w:val="0"/>
        <w:snapToGrid w:val="0"/>
        <w:spacing w:before="100" w:beforeAutospacing="1" w:after="100" w:afterAutospacing="1"/>
        <w:rPr>
          <w:rFonts w:ascii="仿宋_GB2312" w:eastAsia="仿宋_GB2312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832446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8"/>
          <w:szCs w:val="28"/>
        </w:rPr>
        <w:t>：</w:t>
      </w:r>
      <w:bookmarkStart w:id="0" w:name="_GoBack"/>
      <w:bookmarkEnd w:id="0"/>
    </w:p>
    <w:p w:rsidR="0057165C" w:rsidRDefault="0057165C" w:rsidP="00E218BD">
      <w:pPr>
        <w:widowControl/>
        <w:adjustRightInd w:val="0"/>
        <w:snapToGrid w:val="0"/>
        <w:spacing w:afterLines="100" w:after="312"/>
        <w:jc w:val="center"/>
        <w:rPr>
          <w:rFonts w:ascii="方正小标宋_GBK" w:eastAsia="方正小标宋_GBK" w:hAnsi="仿宋" w:cs="宋体"/>
          <w:color w:val="333333"/>
          <w:kern w:val="0"/>
          <w:sz w:val="36"/>
          <w:szCs w:val="36"/>
        </w:rPr>
      </w:pPr>
      <w:r>
        <w:rPr>
          <w:rFonts w:ascii="方正小标宋_GBK" w:eastAsia="方正小标宋_GBK" w:hAnsi="仿宋" w:cs="宋体" w:hint="eastAsia"/>
          <w:color w:val="333333"/>
          <w:kern w:val="0"/>
          <w:sz w:val="36"/>
          <w:szCs w:val="36"/>
        </w:rPr>
        <w:t>巢湖学院审核评估基本教学档案材料参考</w:t>
      </w:r>
      <w:r>
        <w:rPr>
          <w:rFonts w:ascii="方正小标宋_GBK" w:eastAsia="方正小标宋_GBK" w:hAnsi="仿宋" w:cs="宋体"/>
          <w:color w:val="333333"/>
          <w:kern w:val="0"/>
          <w:sz w:val="36"/>
          <w:szCs w:val="36"/>
        </w:rPr>
        <w:t>目录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42"/>
        <w:rPr>
          <w:rFonts w:ascii="仿宋_GB2312" w:eastAsia="仿宋_GB2312" w:hAnsi="宋体" w:cs="宋体"/>
          <w:b/>
          <w:color w:val="000000" w:themeColor="text1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7"/>
          <w:szCs w:val="27"/>
        </w:rPr>
        <w:t>一、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综合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7"/>
          <w:szCs w:val="27"/>
        </w:rPr>
        <w:t>类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各学院制定的各种教学制度、办法、规定以及有关教学工作材料（现行）；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各学院教学工作年度计划与总结（近两学年）；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各学院相关教学工作会议记录（近两学年）；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各种教学汇报材料（近两学年）。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二、教学管理、考务管理、学籍管理类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教师教学任务安排及教师工作量统计（近两学年）；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教师教学进度表（近两学年）；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学院调停课材料（近两学年）；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学院自行安排考试的考试日程表与监考安排表（近两学年）；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学院自行保存的试卷样卷，评分标准与答案（近两学年）；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考试总结、分析和处理情况（近两学年）；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7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学院考试改革相关材料，考试研究相关材料（现行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毕业资格审核材料与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学士学位授予材料（近两学年）；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学生辅修材料（近两学年）；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教学事故处理记录和相关材料（近两学年）。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三、教学评价类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期中教学检查计划与总结，教学检查座谈会记录（近两学年）；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各类人员听课记录（近两学年）；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教师测评材料（近两学年）；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.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教学检查、评估总结（近两学年）</w:t>
      </w:r>
      <w:r w:rsidRPr="008A404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；</w:t>
      </w:r>
    </w:p>
    <w:p w:rsidR="0057165C" w:rsidRPr="00D61DD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二级督导工作材料；</w:t>
      </w:r>
    </w:p>
    <w:p w:rsidR="0057165C" w:rsidRPr="00D61DD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6.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教学质量监控与改进材料。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四、专业、课程建设类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专业人才培养方案与论证报告、课程教学大纲、实验大纲、实习大纲、实验指导书等（现行）；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新增专业申报及建设有关材料（历年）；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3.“十三五”专业建设规划（二级学院）；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专业建设申报材料（包括特色专业）、建设情况总结及相关材料（历年）；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辅修专业人才培养方案（现行）；</w:t>
      </w:r>
    </w:p>
    <w:p w:rsidR="0057165C" w:rsidRDefault="00BC1958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6.</w:t>
      </w:r>
      <w:r w:rsidR="0057165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“十三五”课程建设规划（二级学院）；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7.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课程、专业评估材料（历年）；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8.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实验室、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教研室活动记录（近两学年）；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各类立项建设的课程申报材料与验收评审材料（历年）；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10.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网络课程、多媒体课件建设材料（历年）。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五、教材建设类</w:t>
      </w:r>
    </w:p>
    <w:p w:rsidR="0057165C" w:rsidRDefault="00BC1958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</w:t>
      </w:r>
      <w:r w:rsidR="0057165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“十三五”教材建设规划；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 各级教材建设申报材料与建设验收评审材料（历年）；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 本单位教师已出版教材目录和教材原件（历年）；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 获奖教材目录、证书复印件和教材原件（历年）；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教材使用清单（近两学年）。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六、教学改革成果类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教学研究、教学改革及教学成果材料（历年）;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教师的教学研究论文、教学研究成果等（历年）；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优秀教学成果奖评选、奖励材料（历年）；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其他教学奖励材料（历年）；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教研立项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与建设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材料（历年）。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lastRenderedPageBreak/>
        <w:t>七、科研类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科研工作材料；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纵向、横向科研项目统计（近两学年）；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科研项目到账经费（近两学年）；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教师公开发表的论文（近两学年）；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学术专著（历年）；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教师参展获奖的艺术作品、教师公开发表的文学作品和其他文字作品（近两学年）；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7.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科研获奖情况（历年）；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8.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教师获批专利情况（近两学年）；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成果推广情况（历年）。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八、实践教学类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 校内、校外实践（实习）基地协议，校外导师名录与聘用文件（历年）；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</w:t>
      </w:r>
      <w:r w:rsidR="00BC195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.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学生实习计划、实习总结、实习结果鉴定材料（近两学年）；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学生实验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（实训）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报告、实验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（实训）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日志、教师日志、社会调查报告、社会实践报告等（近两学年）；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实验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（实训）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教学过程资料，包括学生实验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（实训）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记录、实验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（实训）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教学总结等（近两学年）；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毕业论文（设计）过程管理全套材料，学生毕业论文电子文档（近两学年）；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6.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="00BC195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国家、省、校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三级大学生创新创业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训练计划项目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工作材料（历年）；</w:t>
      </w:r>
    </w:p>
    <w:p w:rsidR="0057165C" w:rsidRPr="00D61DD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7. 创新创业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工作开展及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学分认定材料（近两学年）；</w:t>
      </w:r>
    </w:p>
    <w:p w:rsidR="0057165C" w:rsidRPr="00D61DD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8.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学科与技能竞赛工作材料；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学生获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批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专利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情况（近两学年）；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10.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学生各类学科竞赛</w:t>
      </w:r>
      <w:r w:rsidR="00E218B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，创新活动、技能竞赛，文艺体育竞赛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获奖情况（近两学年）；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11.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学生参展获奖的艺术作品、学生公开发表的文学作品和其他文字作品（近两学年）。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九、师资队伍建设类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="00BC195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院级“十三五”师资队伍建设规划及相关文件材料（现行）。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 w:rsidR="00BC195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教师队伍现状汇总表（近两学年，按年统计）。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青年教师培养方案及实施办法（含导师制，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现行</w:t>
      </w:r>
      <w:r w:rsidR="00BC195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）。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4.</w:t>
      </w:r>
      <w:r w:rsidR="00BC1958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教师教学业务档案。以教师个人为单位进行归档，做到纸质档案每人一档，电子档案每人一个电子文件夹，内含个人简介、教学资料（历年教学任务书、教学工作总结、教学质量考</w:t>
      </w:r>
      <w:r w:rsidR="00BC195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核、教学奖惩材料，其中电子档案中还应包括教师讲稿等相关资料）等。</w:t>
      </w:r>
    </w:p>
    <w:p w:rsidR="0057165C" w:rsidRPr="00D61DDC" w:rsidRDefault="0057165C" w:rsidP="00A61C2D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</w:t>
      </w:r>
      <w:r w:rsidR="00BC195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. </w:t>
      </w:r>
      <w:r w:rsidRPr="00D61D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教学竞赛、优秀教师教学观摩材料（历年）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57165C" w:rsidRDefault="0057165C" w:rsidP="00A61C2D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十、本学院教学工作特色档案资料</w:t>
      </w:r>
    </w:p>
    <w:p w:rsidR="00034394" w:rsidRPr="0057165C" w:rsidRDefault="0057165C" w:rsidP="00A61C2D">
      <w:pPr>
        <w:adjustRightInd w:val="0"/>
        <w:snapToGrid w:val="0"/>
        <w:spacing w:line="360" w:lineRule="auto"/>
        <w:ind w:firstLineChars="200" w:firstLine="560"/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以上未列及的</w:t>
      </w:r>
      <w:r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教学档案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，由各</w:t>
      </w:r>
      <w:r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</w:rPr>
        <w:t>学院根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据学校档案管理规定和本办法妥善处理。</w:t>
      </w:r>
    </w:p>
    <w:sectPr w:rsidR="00034394" w:rsidRPr="0057165C" w:rsidSect="00A24891">
      <w:pgSz w:w="11906" w:h="16838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B8" w:rsidRDefault="002915B8" w:rsidP="00E218BD">
      <w:r>
        <w:separator/>
      </w:r>
    </w:p>
  </w:endnote>
  <w:endnote w:type="continuationSeparator" w:id="0">
    <w:p w:rsidR="002915B8" w:rsidRDefault="002915B8" w:rsidP="00E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B8" w:rsidRDefault="002915B8" w:rsidP="00E218BD">
      <w:r>
        <w:separator/>
      </w:r>
    </w:p>
  </w:footnote>
  <w:footnote w:type="continuationSeparator" w:id="0">
    <w:p w:rsidR="002915B8" w:rsidRDefault="002915B8" w:rsidP="00E2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65C"/>
    <w:rsid w:val="00034394"/>
    <w:rsid w:val="0009271D"/>
    <w:rsid w:val="002915B8"/>
    <w:rsid w:val="0057165C"/>
    <w:rsid w:val="00832446"/>
    <w:rsid w:val="0091141C"/>
    <w:rsid w:val="009F79EE"/>
    <w:rsid w:val="00A61C2D"/>
    <w:rsid w:val="00A94FE0"/>
    <w:rsid w:val="00BC1958"/>
    <w:rsid w:val="00BF5078"/>
    <w:rsid w:val="00DD4AB2"/>
    <w:rsid w:val="00E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8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2017-07-18T00:39:00Z</dcterms:created>
  <dcterms:modified xsi:type="dcterms:W3CDTF">2017-07-18T00:40:00Z</dcterms:modified>
</cp:coreProperties>
</file>