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小标宋简体" w:hAnsi="Times New Roman" w:eastAsia="方正小标宋简体" w:cs="Times New Roman"/>
          <w:color w:val="000000" w:themeColor="text1"/>
          <w:sz w:val="36"/>
          <w:szCs w:val="36"/>
          <w14:textFill>
            <w14:solidFill>
              <w14:schemeClr w14:val="tx1"/>
            </w14:solidFill>
          </w14:textFill>
        </w:rPr>
      </w:pPr>
      <w:r>
        <w:rPr>
          <w:rFonts w:hint="eastAsia" w:ascii="方正小标宋简体" w:hAnsi="Times New Roman" w:eastAsia="方正小标宋简体" w:cs="Times New Roman"/>
          <w:color w:val="000000" w:themeColor="text1"/>
          <w:sz w:val="36"/>
          <w:szCs w:val="36"/>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方正小标宋简体" w:hAnsi="Times New Roman" w:eastAsia="方正小标宋简体" w:cs="Times New Roman"/>
          <w:color w:val="000000" w:themeColor="text1"/>
          <w:sz w:val="36"/>
          <w:szCs w:val="36"/>
          <w14:textFill>
            <w14:solidFill>
              <w14:schemeClr w14:val="tx1"/>
            </w14:solidFill>
          </w14:textFill>
        </w:rPr>
        <w:instrText xml:space="preserve">ADDIN CNKISM.UserStyle</w:instrText>
      </w:r>
      <w:r>
        <w:rPr>
          <w:rFonts w:ascii="方正小标宋简体" w:hAnsi="Times New Roman" w:eastAsia="方正小标宋简体" w:cs="Times New Roman"/>
          <w:color w:val="000000" w:themeColor="text1"/>
          <w:sz w:val="36"/>
          <w:szCs w:val="36"/>
          <w14:textFill>
            <w14:solidFill>
              <w14:schemeClr w14:val="tx1"/>
            </w14:solidFill>
          </w14:textFill>
        </w:rPr>
        <w:fldChar w:fldCharType="separate"/>
      </w:r>
      <w:r>
        <w:rPr>
          <w:rFonts w:hint="eastAsia" w:ascii="方正小标宋简体" w:hAnsi="Times New Roman" w:eastAsia="方正小标宋简体" w:cs="Times New Roman"/>
          <w:color w:val="000000" w:themeColor="text1"/>
          <w:sz w:val="36"/>
          <w:szCs w:val="36"/>
          <w14:textFill>
            <w14:solidFill>
              <w14:schemeClr w14:val="tx1"/>
            </w14:solidFill>
          </w14:textFill>
        </w:rPr>
        <w:fldChar w:fldCharType="end"/>
      </w:r>
      <w:r>
        <w:rPr>
          <w:rFonts w:hint="eastAsia" w:ascii="方正小标宋简体" w:hAnsi="Times New Roman" w:eastAsia="方正小标宋简体" w:cs="Times New Roman"/>
          <w:color w:val="000000" w:themeColor="text1"/>
          <w:sz w:val="36"/>
          <w:szCs w:val="36"/>
          <w14:textFill>
            <w14:solidFill>
              <w14:schemeClr w14:val="tx1"/>
            </w14:solidFill>
          </w14:textFill>
        </w:rPr>
        <w:t>2021年高校一流课程建设与申报</w:t>
      </w:r>
    </w:p>
    <w:p>
      <w:pPr>
        <w:spacing w:after="100" w:afterAutospacing="1" w:line="360" w:lineRule="auto"/>
        <w:jc w:val="center"/>
        <w:rPr>
          <w:rFonts w:ascii="方正小标宋简体" w:hAnsi="Times New Roman" w:eastAsia="方正小标宋简体" w:cs="Times New Roman"/>
          <w:color w:val="000000" w:themeColor="text1"/>
          <w:sz w:val="36"/>
          <w:szCs w:val="36"/>
          <w14:textFill>
            <w14:solidFill>
              <w14:schemeClr w14:val="tx1"/>
            </w14:solidFill>
          </w14:textFill>
        </w:rPr>
      </w:pPr>
      <w:r>
        <w:rPr>
          <w:rFonts w:hint="eastAsia" w:ascii="方正小标宋简体" w:hAnsi="Times New Roman" w:eastAsia="方正小标宋简体" w:cs="Times New Roman"/>
          <w:color w:val="000000" w:themeColor="text1"/>
          <w:sz w:val="36"/>
          <w:szCs w:val="36"/>
          <w14:textFill>
            <w14:solidFill>
              <w14:schemeClr w14:val="tx1"/>
            </w14:solidFill>
          </w14:textFill>
        </w:rPr>
        <w:t>专题网络培训实施方案</w:t>
      </w:r>
    </w:p>
    <w:p>
      <w:pPr>
        <w:spacing w:line="560" w:lineRule="exact"/>
        <w:ind w:firstLine="560" w:firstLineChars="200"/>
        <w:rPr>
          <w:rFonts w:ascii="Times New Roman" w:hAnsi="Times New Roman" w:eastAsia="仿宋" w:cs="仿宋"/>
          <w:sz w:val="28"/>
          <w:szCs w:val="28"/>
        </w:rPr>
      </w:pPr>
      <w:r>
        <w:rPr>
          <w:rFonts w:hint="eastAsia" w:ascii="Times New Roman" w:hAnsi="Times New Roman" w:eastAsia="仿宋" w:cs="仿宋"/>
          <w:sz w:val="28"/>
          <w:szCs w:val="28"/>
        </w:rPr>
        <w:t>为贯彻落实全国教育大会和新时代全国高等学校本科教育工作会议精神，大力推进“课程优起来、教师强起来、学生忙起来、管理严起来、效果实起来”的一流本科教育和教学质量文化建设，根据《教育部关于深化本科教育教学改革全面提高人才培养质量的意见》和《教育部关于一流本科课程建设的实施意见》文件精神，国家教育行政学院中国教育干部网络学院决定开展2021年高校一流课程建设与申报专题网络培训。为保证培训的顺利实施，特制订本方案。</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一、培训目标</w:t>
      </w:r>
    </w:p>
    <w:p>
      <w:pPr>
        <w:spacing w:line="560" w:lineRule="exact"/>
        <w:ind w:firstLine="560" w:firstLineChars="200"/>
        <w:rPr>
          <w:rFonts w:ascii="Times New Roman" w:hAnsi="Times New Roman" w:eastAsia="仿宋" w:cs="仿宋"/>
          <w:sz w:val="28"/>
          <w:szCs w:val="28"/>
        </w:rPr>
      </w:pPr>
      <w:r>
        <w:rPr>
          <w:rFonts w:hint="eastAsia" w:ascii="Times New Roman" w:hAnsi="Times New Roman" w:eastAsia="仿宋" w:cs="仿宋"/>
          <w:sz w:val="28"/>
          <w:szCs w:val="28"/>
        </w:rPr>
        <w:t>通过对一流课程的理论基础、基本范式、实践路径和申报要点的系统化解读与介绍，让广大高校教师了解一流课程的基本规律和特点，学会一流课程建设的主要路径和方法，掌握一流课程申报的技巧与要点，从而建立对一流课程的系统化认知，掌握一流课程建设的专业化方法，炼就一流课程建设的关键核心能力。</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二、培训对象</w:t>
      </w:r>
    </w:p>
    <w:p>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高校基层教学组织负责人</w:t>
      </w:r>
      <w:r>
        <w:rPr>
          <w:rFonts w:hint="eastAsia" w:ascii="仿宋" w:hAnsi="仿宋" w:eastAsia="仿宋" w:cs="仿宋"/>
          <w:sz w:val="28"/>
          <w:szCs w:val="28"/>
          <w:lang w:eastAsia="zh-CN"/>
        </w:rPr>
        <w:t>、</w:t>
      </w:r>
      <w:r>
        <w:rPr>
          <w:rFonts w:hint="eastAsia" w:ascii="仿宋" w:hAnsi="仿宋" w:eastAsia="仿宋" w:cs="仿宋"/>
          <w:sz w:val="28"/>
          <w:szCs w:val="28"/>
        </w:rPr>
        <w:t>中青年骨干教师。</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三、培训时间</w:t>
      </w:r>
    </w:p>
    <w:p>
      <w:pPr>
        <w:spacing w:line="560" w:lineRule="exact"/>
        <w:ind w:firstLine="560" w:firstLineChars="200"/>
        <w:rPr>
          <w:rFonts w:ascii="Times New Roman" w:hAnsi="Times New Roman" w:eastAsia="仿宋" w:cs="仿宋"/>
          <w:sz w:val="28"/>
          <w:szCs w:val="28"/>
        </w:rPr>
      </w:pPr>
      <w:r>
        <w:rPr>
          <w:rFonts w:hint="eastAsia" w:ascii="Times New Roman" w:hAnsi="Times New Roman" w:eastAsia="仿宋" w:cs="仿宋"/>
          <w:sz w:val="28"/>
          <w:szCs w:val="28"/>
        </w:rPr>
        <w:t>培训时长一般为3个月，具体分为报名、学习和总结三个阶段，循环滚动开班，具体启动时间由合作单位与国家教育行政学院协商确定。具体培训安排见下表：</w:t>
      </w:r>
    </w:p>
    <w:p>
      <w:pPr>
        <w:rPr>
          <w:rFonts w:ascii="Times New Roman" w:hAnsi="Times New Roman" w:eastAsia="仿宋" w:cs="仿宋"/>
          <w:sz w:val="28"/>
          <w:szCs w:val="28"/>
        </w:rPr>
      </w:pPr>
      <w:r>
        <w:rPr>
          <w:rFonts w:hint="eastAsia" w:ascii="Times New Roman" w:hAnsi="Times New Roman" w:eastAsia="仿宋" w:cs="仿宋"/>
          <w:sz w:val="28"/>
          <w:szCs w:val="28"/>
        </w:rPr>
        <w:br w:type="page"/>
      </w:r>
    </w:p>
    <w:tbl>
      <w:tblPr>
        <w:tblStyle w:val="7"/>
        <w:tblW w:w="0" w:type="auto"/>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277"/>
        <w:gridCol w:w="1134"/>
        <w:gridCol w:w="589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0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adjustRightInd w:val="0"/>
              <w:snapToGrid w:val="0"/>
              <w:jc w:val="center"/>
              <w:rPr>
                <w:rFonts w:ascii="Times New Roman" w:hAnsi="Times New Roman" w:eastAsia="仿宋" w:cs="Times New Roman"/>
                <w:b/>
                <w:kern w:val="0"/>
                <w:sz w:val="24"/>
                <w:u w:color="000000"/>
              </w:rPr>
            </w:pPr>
            <w:r>
              <w:rPr>
                <w:rFonts w:ascii="Times New Roman" w:hAnsi="Times New Roman" w:eastAsia="仿宋" w:cs="Times New Roman"/>
                <w:b/>
                <w:kern w:val="0"/>
                <w:sz w:val="24"/>
                <w:u w:color="000000"/>
              </w:rPr>
              <w:t>培训阶段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Times New Roman" w:hAnsi="Times New Roman" w:eastAsia="仿宋" w:cs="Times New Roman"/>
                <w:b/>
                <w:kern w:val="0"/>
                <w:sz w:val="24"/>
                <w:u w:color="000000"/>
              </w:rPr>
            </w:pPr>
            <w:r>
              <w:rPr>
                <w:rFonts w:ascii="Times New Roman" w:hAnsi="Times New Roman" w:eastAsia="仿宋" w:cs="Times New Roman"/>
                <w:b/>
                <w:kern w:val="0"/>
                <w:sz w:val="24"/>
                <w:u w:color="000000"/>
              </w:rPr>
              <w:t>时间</w:t>
            </w:r>
          </w:p>
        </w:tc>
        <w:tc>
          <w:tcPr>
            <w:tcW w:w="58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Times New Roman" w:hAnsi="Times New Roman" w:eastAsia="仿宋" w:cs="Times New Roman"/>
                <w:b/>
                <w:kern w:val="0"/>
                <w:sz w:val="24"/>
                <w:u w:color="000000"/>
              </w:rPr>
            </w:pPr>
            <w:r>
              <w:rPr>
                <w:rFonts w:ascii="Times New Roman" w:hAnsi="Times New Roman" w:eastAsia="仿宋" w:cs="Times New Roman"/>
                <w:b/>
                <w:kern w:val="0"/>
                <w:sz w:val="24"/>
                <w:u w:color="000000"/>
              </w:rPr>
              <w:t>工作内容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98"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adjustRightInd w:val="0"/>
              <w:snapToGrid w:val="0"/>
              <w:jc w:val="center"/>
              <w:rPr>
                <w:rFonts w:ascii="Times New Roman" w:hAnsi="Times New Roman" w:eastAsia="仿宋" w:cs="Times New Roman"/>
                <w:b/>
                <w:bCs/>
                <w:kern w:val="0"/>
                <w:sz w:val="24"/>
                <w:u w:color="000000"/>
              </w:rPr>
            </w:pPr>
            <w:r>
              <w:rPr>
                <w:rFonts w:hint="eastAsia" w:ascii="Times New Roman" w:hAnsi="Times New Roman" w:eastAsia="仿宋" w:cs="Times New Roman"/>
                <w:b/>
                <w:bCs/>
                <w:kern w:val="0"/>
                <w:sz w:val="24"/>
                <w:u w:color="000000"/>
              </w:rPr>
              <w:t>报名</w:t>
            </w:r>
            <w:r>
              <w:rPr>
                <w:rFonts w:ascii="Times New Roman" w:hAnsi="Times New Roman" w:eastAsia="仿宋" w:cs="Times New Roman"/>
                <w:b/>
                <w:bCs/>
                <w:kern w:val="0"/>
                <w:sz w:val="24"/>
                <w:u w:color="000000"/>
              </w:rPr>
              <w:t>阶段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center"/>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约2周</w:t>
            </w:r>
          </w:p>
        </w:tc>
        <w:tc>
          <w:tcPr>
            <w:tcW w:w="5896"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1.发放培训通知，部署培训工作</w:t>
            </w:r>
            <w:r>
              <w:rPr>
                <w:rFonts w:hint="eastAsia" w:ascii="Times New Roman" w:hAnsi="Times New Roman" w:eastAsia="仿宋" w:cs="Times New Roman"/>
                <w:kern w:val="0"/>
                <w:sz w:val="24"/>
                <w:u w:color="000000"/>
              </w:rPr>
              <w:t>。</w:t>
            </w:r>
          </w:p>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2.建立培训管理团队，进行训前指导</w:t>
            </w:r>
            <w:r>
              <w:rPr>
                <w:rFonts w:hint="eastAsia" w:ascii="Times New Roman" w:hAnsi="Times New Roman" w:eastAsia="仿宋" w:cs="Times New Roman"/>
                <w:kern w:val="0"/>
                <w:sz w:val="24"/>
                <w:u w:color="000000"/>
              </w:rPr>
              <w:t>。</w:t>
            </w:r>
          </w:p>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3.学员实名注册，使用学习卡进入班级</w:t>
            </w:r>
            <w:r>
              <w:rPr>
                <w:rFonts w:hint="eastAsia" w:ascii="Times New Roman" w:hAnsi="Times New Roman" w:eastAsia="仿宋" w:cs="Times New Roman"/>
                <w:kern w:val="0"/>
                <w:sz w:val="24"/>
                <w:u w:color="000000"/>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112"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adjustRightInd w:val="0"/>
              <w:snapToGrid w:val="0"/>
              <w:jc w:val="center"/>
              <w:rPr>
                <w:rFonts w:ascii="Times New Roman" w:hAnsi="Times New Roman" w:eastAsia="仿宋" w:cs="Times New Roman"/>
                <w:b/>
                <w:bCs/>
                <w:kern w:val="0"/>
                <w:sz w:val="24"/>
                <w:u w:color="000000"/>
              </w:rPr>
            </w:pPr>
            <w:r>
              <w:rPr>
                <w:rFonts w:ascii="Times New Roman" w:hAnsi="Times New Roman" w:eastAsia="仿宋" w:cs="Times New Roman"/>
                <w:b/>
                <w:bCs/>
                <w:kern w:val="0"/>
                <w:sz w:val="24"/>
                <w:u w:color="000000"/>
              </w:rPr>
              <w:t>学习阶段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center"/>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约2个月</w:t>
            </w:r>
          </w:p>
        </w:tc>
        <w:tc>
          <w:tcPr>
            <w:tcW w:w="5896"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1.参训学员按照教学计划，完成规定课程学习，参与主题研讨，撰写学习心得，完成各项考核要求后在线打印学时证明</w:t>
            </w:r>
            <w:r>
              <w:rPr>
                <w:rFonts w:hint="eastAsia" w:ascii="Times New Roman" w:hAnsi="Times New Roman" w:eastAsia="仿宋" w:cs="Times New Roman"/>
                <w:kern w:val="0"/>
                <w:sz w:val="24"/>
                <w:u w:color="000000"/>
              </w:rPr>
              <w:t>。</w:t>
            </w:r>
          </w:p>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2.参训单位加强统筹，做好培训中期的督学与促学工作</w:t>
            </w:r>
            <w:r>
              <w:rPr>
                <w:rFonts w:hint="eastAsia" w:ascii="Times New Roman" w:hAnsi="Times New Roman" w:eastAsia="仿宋" w:cs="Times New Roman"/>
                <w:kern w:val="0"/>
                <w:sz w:val="24"/>
                <w:u w:color="000000"/>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6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adjustRightInd w:val="0"/>
              <w:snapToGrid w:val="0"/>
              <w:jc w:val="center"/>
              <w:rPr>
                <w:rFonts w:ascii="Times New Roman" w:hAnsi="Times New Roman" w:eastAsia="仿宋" w:cs="Times New Roman"/>
                <w:b/>
                <w:bCs/>
                <w:kern w:val="0"/>
                <w:sz w:val="24"/>
                <w:u w:color="000000"/>
              </w:rPr>
            </w:pPr>
            <w:r>
              <w:rPr>
                <w:rFonts w:ascii="Times New Roman" w:hAnsi="Times New Roman" w:eastAsia="仿宋" w:cs="Times New Roman"/>
                <w:b/>
                <w:bCs/>
                <w:kern w:val="0"/>
                <w:sz w:val="24"/>
                <w:u w:color="000000"/>
              </w:rPr>
              <w:t>总结阶段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center"/>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约</w:t>
            </w:r>
            <w:r>
              <w:rPr>
                <w:rFonts w:hint="eastAsia" w:ascii="Times New Roman" w:hAnsi="Times New Roman" w:eastAsia="仿宋" w:cs="Times New Roman"/>
                <w:kern w:val="0"/>
                <w:sz w:val="24"/>
                <w:u w:color="000000"/>
              </w:rPr>
              <w:t>2</w:t>
            </w:r>
            <w:r>
              <w:rPr>
                <w:rFonts w:ascii="Times New Roman" w:hAnsi="Times New Roman" w:eastAsia="仿宋" w:cs="Times New Roman"/>
                <w:kern w:val="0"/>
                <w:sz w:val="24"/>
                <w:u w:color="000000"/>
              </w:rPr>
              <w:t>周</w:t>
            </w:r>
          </w:p>
        </w:tc>
        <w:tc>
          <w:tcPr>
            <w:tcW w:w="5896"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开展培训评估与总结</w:t>
            </w:r>
            <w:r>
              <w:rPr>
                <w:rFonts w:hint="eastAsia" w:ascii="Times New Roman" w:hAnsi="Times New Roman" w:eastAsia="仿宋" w:cs="Times New Roman"/>
                <w:kern w:val="0"/>
                <w:sz w:val="24"/>
                <w:u w:color="000000"/>
              </w:rPr>
              <w:t>。</w:t>
            </w:r>
          </w:p>
        </w:tc>
      </w:tr>
    </w:tbl>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四、培训内容与要求</w:t>
      </w:r>
    </w:p>
    <w:p>
      <w:pPr>
        <w:spacing w:line="560" w:lineRule="exact"/>
        <w:ind w:firstLine="560" w:firstLineChars="200"/>
        <w:rPr>
          <w:rFonts w:ascii="Times New Roman" w:hAnsi="Times New Roman" w:eastAsia="仿宋" w:cs="仿宋"/>
          <w:sz w:val="28"/>
          <w:szCs w:val="28"/>
        </w:rPr>
      </w:pPr>
      <w:r>
        <w:rPr>
          <w:rFonts w:hint="eastAsia" w:ascii="Times New Roman" w:hAnsi="Times New Roman" w:eastAsia="仿宋" w:cs="仿宋"/>
          <w:sz w:val="28"/>
          <w:szCs w:val="28"/>
        </w:rPr>
        <w:t>培训依托国家教育行政学院的中国教育干部网络学院（www.enaea.edu.cn）平台组织实施。参训学员在中国教育干部网络学院进行实名注册，登录后使用统一发放的学习卡参加学习（已注册过的学员可直接登录并使用学习卡），也可以直接下载移动客户端（学习公社APP）随时登录学习。</w:t>
      </w:r>
    </w:p>
    <w:p>
      <w:pPr>
        <w:numPr>
          <w:ilvl w:val="0"/>
          <w:numId w:val="1"/>
        </w:numPr>
        <w:spacing w:line="560" w:lineRule="exact"/>
        <w:ind w:firstLine="562"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仿宋" w:hAnsi="仿宋" w:eastAsia="仿宋" w:cs="仿宋"/>
          <w:b/>
          <w:bCs/>
          <w:sz w:val="28"/>
          <w:szCs w:val="28"/>
          <w:u w:color="000000"/>
        </w:rPr>
        <w:t>课程学习：</w:t>
      </w:r>
      <w:r>
        <w:rPr>
          <w:rFonts w:hint="eastAsia" w:ascii="仿宋" w:hAnsi="仿宋" w:eastAsia="仿宋" w:cs="仿宋"/>
          <w:sz w:val="28"/>
          <w:szCs w:val="28"/>
          <w:highlight w:val="none"/>
          <w:u w:color="000000"/>
        </w:rPr>
        <w:t>本次培训围绕</w:t>
      </w:r>
      <w:r>
        <w:rPr>
          <w:rFonts w:hint="eastAsia" w:ascii="仿宋" w:hAnsi="仿宋" w:eastAsia="仿宋" w:cs="仿宋"/>
          <w:b/>
          <w:bCs/>
          <w:sz w:val="28"/>
          <w:szCs w:val="28"/>
          <w:u w:color="000000"/>
        </w:rPr>
        <w:t>一流课程建设的理论基础、一流课程建设的基本范式、一流课程建设的实现路径、一流课程的核心要素与评价标准、一流课程的申报要点</w:t>
      </w:r>
      <w:r>
        <w:rPr>
          <w:rFonts w:hint="eastAsia" w:ascii="仿宋" w:hAnsi="仿宋" w:eastAsia="仿宋" w:cs="仿宋"/>
          <w:sz w:val="28"/>
          <w:szCs w:val="28"/>
          <w:u w:color="000000"/>
        </w:rPr>
        <w:t>等模块设置课程</w:t>
      </w:r>
      <w:r>
        <w:rPr>
          <w:rFonts w:hint="eastAsia" w:ascii="Times New Roman" w:hAnsi="Times New Roman" w:eastAsia="仿宋" w:cs="仿宋"/>
          <w:color w:val="000000" w:themeColor="text1"/>
          <w:sz w:val="28"/>
          <w:szCs w:val="28"/>
          <w14:textFill>
            <w14:solidFill>
              <w14:schemeClr w14:val="tx1"/>
            </w14:solidFill>
          </w14:textFill>
        </w:rPr>
        <w:t>（详见附件1）</w:t>
      </w:r>
      <w:r>
        <w:rPr>
          <w:rFonts w:hint="eastAsia" w:ascii="Times New Roman" w:hAnsi="Times New Roman" w:eastAsia="仿宋_GB2312" w:cs="Times New Roman"/>
          <w:color w:val="000000" w:themeColor="text1"/>
          <w:sz w:val="28"/>
          <w:szCs w:val="28"/>
          <w14:textFill>
            <w14:solidFill>
              <w14:schemeClr w14:val="tx1"/>
            </w14:solidFill>
          </w14:textFill>
        </w:rPr>
        <w:t>。</w:t>
      </w:r>
    </w:p>
    <w:p>
      <w:pPr>
        <w:spacing w:line="560" w:lineRule="exact"/>
        <w:ind w:firstLine="562" w:firstLineChars="200"/>
        <w:rPr>
          <w:rFonts w:ascii="仿宋" w:hAnsi="仿宋" w:eastAsia="仿宋" w:cs="仿宋"/>
          <w:sz w:val="28"/>
          <w:szCs w:val="28"/>
          <w:u w:color="000000"/>
        </w:rPr>
      </w:pPr>
      <w:r>
        <w:rPr>
          <w:rFonts w:hint="eastAsia" w:ascii="仿宋" w:hAnsi="仿宋" w:eastAsia="仿宋" w:cs="仿宋"/>
          <w:b/>
          <w:bCs/>
          <w:sz w:val="28"/>
          <w:szCs w:val="28"/>
          <w:u w:color="000000"/>
        </w:rPr>
        <w:t>2.主题研讨：</w:t>
      </w:r>
      <w:r>
        <w:rPr>
          <w:rFonts w:hint="eastAsia" w:ascii="仿宋" w:hAnsi="仿宋" w:eastAsia="仿宋" w:cs="仿宋"/>
          <w:sz w:val="28"/>
          <w:szCs w:val="28"/>
          <w:u w:color="000000"/>
        </w:rPr>
        <w:t>培训期间，参训学员在班级管理员的组织下围绕“我对一流课程的思考与认知”“一流课程建设的主要方法与策略”“优秀一流课程案例分析与分享”</w:t>
      </w:r>
      <w:r>
        <w:rPr>
          <w:rFonts w:hint="eastAsia" w:ascii="Times New Roman" w:hAnsi="Times New Roman" w:eastAsia="仿宋" w:cs="仿宋"/>
          <w:color w:val="000000" w:themeColor="text1"/>
          <w:sz w:val="28"/>
          <w:szCs w:val="28"/>
          <w14:textFill>
            <w14:solidFill>
              <w14:schemeClr w14:val="tx1"/>
            </w14:solidFill>
          </w14:textFill>
        </w:rPr>
        <w:t>等主题开展研讨。</w:t>
      </w:r>
    </w:p>
    <w:p>
      <w:pPr>
        <w:spacing w:line="560" w:lineRule="exact"/>
        <w:ind w:firstLine="562" w:firstLineChars="200"/>
        <w:rPr>
          <w:rFonts w:ascii="仿宋" w:hAnsi="仿宋" w:eastAsia="仿宋" w:cs="仿宋"/>
          <w:sz w:val="28"/>
          <w:szCs w:val="28"/>
          <w:u w:color="000000"/>
        </w:rPr>
      </w:pPr>
      <w:r>
        <w:rPr>
          <w:rFonts w:hint="eastAsia" w:ascii="仿宋" w:hAnsi="仿宋" w:eastAsia="仿宋" w:cs="仿宋"/>
          <w:b/>
          <w:bCs/>
          <w:sz w:val="28"/>
          <w:szCs w:val="28"/>
          <w:u w:color="000000"/>
        </w:rPr>
        <w:t>3.</w:t>
      </w:r>
      <w:r>
        <w:rPr>
          <w:rFonts w:hint="eastAsia" w:ascii="Times New Roman" w:hAnsi="Times New Roman" w:eastAsia="仿宋" w:cs="Times New Roman"/>
          <w:b/>
          <w:color w:val="000000" w:themeColor="text1"/>
          <w:sz w:val="28"/>
          <w:szCs w:val="28"/>
          <w14:textFill>
            <w14:solidFill>
              <w14:schemeClr w14:val="tx1"/>
            </w14:solidFill>
          </w14:textFill>
        </w:rPr>
        <w:t>研修总结</w:t>
      </w:r>
      <w:r>
        <w:rPr>
          <w:rFonts w:hint="eastAsia" w:ascii="Times New Roman" w:hAnsi="Times New Roman" w:eastAsia="仿宋" w:cs="Times New Roman"/>
          <w:b/>
          <w:sz w:val="28"/>
          <w:szCs w:val="28"/>
        </w:rPr>
        <w:t>：</w:t>
      </w:r>
      <w:r>
        <w:rPr>
          <w:rFonts w:hint="eastAsia" w:ascii="Times New Roman" w:hAnsi="Times New Roman" w:eastAsia="仿宋" w:cs="仿宋"/>
          <w:sz w:val="28"/>
          <w:szCs w:val="28"/>
        </w:rPr>
        <w:t>参训学员要结合培训目标、培训内容和自身工作实际，设计并</w:t>
      </w:r>
      <w:r>
        <w:rPr>
          <w:rFonts w:hint="eastAsia" w:ascii="Times New Roman" w:hAnsi="Times New Roman" w:eastAsia="仿宋" w:cs="仿宋"/>
          <w:sz w:val="28"/>
          <w:szCs w:val="28"/>
          <w:lang w:val="en-US" w:eastAsia="zh-CN"/>
        </w:rPr>
        <w:t>提交</w:t>
      </w:r>
      <w:r>
        <w:rPr>
          <w:rFonts w:hint="eastAsia" w:ascii="Times New Roman" w:hAnsi="Times New Roman" w:eastAsia="仿宋" w:cs="仿宋"/>
          <w:sz w:val="28"/>
          <w:szCs w:val="28"/>
        </w:rPr>
        <w:t>一篇“本人负责课程</w:t>
      </w:r>
      <w:r>
        <w:rPr>
          <w:rFonts w:hint="eastAsia" w:ascii="Times New Roman" w:hAnsi="Times New Roman" w:eastAsia="仿宋" w:cs="仿宋"/>
          <w:sz w:val="28"/>
          <w:szCs w:val="28"/>
          <w:lang w:val="en-US" w:eastAsia="zh-CN"/>
        </w:rPr>
        <w:t>的</w:t>
      </w:r>
      <w:r>
        <w:rPr>
          <w:rFonts w:hint="eastAsia" w:ascii="Times New Roman" w:hAnsi="Times New Roman" w:eastAsia="仿宋" w:cs="仿宋"/>
          <w:sz w:val="28"/>
          <w:szCs w:val="28"/>
        </w:rPr>
        <w:t>教学大纲（syllabus）”</w:t>
      </w:r>
      <w:r>
        <w:rPr>
          <w:rFonts w:hint="eastAsia" w:ascii="Times New Roman" w:hAnsi="Times New Roman" w:eastAsia="仿宋" w:cs="Times New Roman"/>
          <w:sz w:val="28"/>
          <w:szCs w:val="28"/>
        </w:rPr>
        <w:t>作为本次培训的研修总结</w:t>
      </w:r>
      <w:bookmarkStart w:id="1" w:name="_GoBack"/>
      <w:bookmarkEnd w:id="1"/>
      <w:r>
        <w:rPr>
          <w:rFonts w:hint="eastAsia" w:ascii="Times New Roman" w:hAnsi="Times New Roman" w:eastAsia="仿宋" w:cs="Times New Roman"/>
          <w:sz w:val="28"/>
          <w:szCs w:val="28"/>
        </w:rPr>
        <w:t>。</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五、培训考核</w:t>
      </w:r>
    </w:p>
    <w:p>
      <w:pPr>
        <w:spacing w:line="560" w:lineRule="exact"/>
        <w:ind w:firstLine="560" w:firstLineChars="200"/>
        <w:rPr>
          <w:rFonts w:ascii="Times New Roman" w:hAnsi="Times New Roman" w:eastAsia="仿宋" w:cs="仿宋"/>
          <w:sz w:val="28"/>
          <w:szCs w:val="28"/>
        </w:rPr>
      </w:pPr>
      <w:r>
        <w:rPr>
          <w:rFonts w:hint="eastAsia" w:ascii="Times New Roman" w:hAnsi="Times New Roman" w:eastAsia="仿宋" w:cs="仿宋"/>
          <w:sz w:val="28"/>
          <w:szCs w:val="28"/>
        </w:rPr>
        <w:t>为确保培训质量和培训效果，本次培训将对学员进行过程性考核。完成培训各环节考核要求的学员可在线打印学时证明。参训单位可将学员学习时长计入继续教育培训学时。</w:t>
      </w:r>
    </w:p>
    <w:tbl>
      <w:tblPr>
        <w:tblStyle w:val="7"/>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6300"/>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blHeader/>
          <w:jc w:val="center"/>
        </w:trPr>
        <w:tc>
          <w:tcPr>
            <w:tcW w:w="1421" w:type="dxa"/>
            <w:vAlign w:val="center"/>
          </w:tcPr>
          <w:p>
            <w:pPr>
              <w:contextualSpacing/>
              <w:jc w:val="center"/>
              <w:rPr>
                <w:rFonts w:ascii="Times New Roman" w:hAnsi="Times New Roman" w:eastAsia="仿宋"/>
                <w:b/>
                <w:bCs/>
                <w:sz w:val="24"/>
              </w:rPr>
            </w:pPr>
            <w:r>
              <w:rPr>
                <w:rFonts w:ascii="Times New Roman" w:hAnsi="Times New Roman" w:eastAsia="仿宋" w:cs="Times New Roman"/>
                <w:b/>
                <w:bCs/>
                <w:sz w:val="24"/>
                <w:highlight w:val="yellow"/>
              </w:rPr>
              <w:br w:type="page"/>
            </w:r>
            <w:r>
              <w:rPr>
                <w:rFonts w:ascii="Times New Roman" w:hAnsi="Times New Roman" w:eastAsia="仿宋" w:cs="Times New Roman"/>
                <w:b/>
                <w:bCs/>
                <w:sz w:val="24"/>
              </w:rPr>
              <w:t>考核维度</w:t>
            </w:r>
          </w:p>
        </w:tc>
        <w:tc>
          <w:tcPr>
            <w:tcW w:w="6300" w:type="dxa"/>
            <w:vAlign w:val="center"/>
          </w:tcPr>
          <w:p>
            <w:pPr>
              <w:contextualSpacing/>
              <w:jc w:val="center"/>
              <w:rPr>
                <w:rFonts w:ascii="Times New Roman" w:hAnsi="Times New Roman" w:eastAsia="仿宋"/>
                <w:b/>
                <w:bCs/>
                <w:sz w:val="24"/>
              </w:rPr>
            </w:pPr>
            <w:r>
              <w:rPr>
                <w:rFonts w:ascii="Times New Roman" w:hAnsi="Times New Roman" w:eastAsia="仿宋" w:cs="Times New Roman"/>
                <w:b/>
                <w:bCs/>
                <w:sz w:val="24"/>
              </w:rPr>
              <w:t>考核内容</w:t>
            </w:r>
          </w:p>
        </w:tc>
        <w:tc>
          <w:tcPr>
            <w:tcW w:w="783" w:type="dxa"/>
            <w:vAlign w:val="center"/>
          </w:tcPr>
          <w:p>
            <w:pPr>
              <w:contextualSpacing/>
              <w:jc w:val="center"/>
              <w:rPr>
                <w:rFonts w:ascii="Times New Roman" w:hAnsi="Times New Roman" w:eastAsia="仿宋"/>
                <w:b/>
                <w:bCs/>
                <w:sz w:val="24"/>
              </w:rPr>
            </w:pPr>
            <w:r>
              <w:rPr>
                <w:rFonts w:ascii="Times New Roman" w:hAnsi="Times New Roman" w:eastAsia="仿宋" w:cs="Times New Roman"/>
                <w:b/>
                <w:bCs/>
                <w:sz w:val="24"/>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blHeader/>
          <w:jc w:val="center"/>
        </w:trPr>
        <w:tc>
          <w:tcPr>
            <w:tcW w:w="1421" w:type="dxa"/>
            <w:vMerge w:val="restart"/>
            <w:vAlign w:val="center"/>
          </w:tcPr>
          <w:p>
            <w:pPr>
              <w:contextualSpacing/>
              <w:jc w:val="center"/>
              <w:rPr>
                <w:rFonts w:ascii="Times New Roman" w:hAnsi="Times New Roman" w:eastAsia="仿宋"/>
                <w:b/>
                <w:sz w:val="24"/>
              </w:rPr>
            </w:pPr>
            <w:r>
              <w:rPr>
                <w:rFonts w:hint="eastAsia" w:ascii="Times New Roman" w:hAnsi="Times New Roman" w:eastAsia="仿宋"/>
                <w:b/>
                <w:sz w:val="24"/>
              </w:rPr>
              <w:t>过程考核</w:t>
            </w:r>
          </w:p>
        </w:tc>
        <w:tc>
          <w:tcPr>
            <w:tcW w:w="6300" w:type="dxa"/>
            <w:vAlign w:val="center"/>
          </w:tcPr>
          <w:p>
            <w:pPr>
              <w:contextualSpacing/>
              <w:rPr>
                <w:rFonts w:ascii="Times New Roman" w:hAnsi="Times New Roman" w:eastAsia="仿宋"/>
                <w:bCs/>
                <w:sz w:val="24"/>
              </w:rPr>
            </w:pPr>
            <w:r>
              <w:rPr>
                <w:rFonts w:ascii="Times New Roman" w:hAnsi="Times New Roman" w:eastAsia="仿宋"/>
                <w:b/>
                <w:sz w:val="24"/>
              </w:rPr>
              <w:t>课程学习</w:t>
            </w:r>
            <w:r>
              <w:rPr>
                <w:rFonts w:hint="eastAsia" w:ascii="Times New Roman" w:hAnsi="Times New Roman" w:eastAsia="仿宋"/>
                <w:b/>
                <w:sz w:val="24"/>
              </w:rPr>
              <w:t>：</w:t>
            </w:r>
            <w:r>
              <w:rPr>
                <w:rFonts w:hint="eastAsia" w:ascii="Times New Roman" w:hAnsi="Times New Roman" w:eastAsia="仿宋"/>
                <w:bCs/>
                <w:sz w:val="24"/>
              </w:rPr>
              <w:t>完成</w:t>
            </w:r>
            <w:r>
              <w:rPr>
                <w:rFonts w:ascii="Times New Roman" w:hAnsi="Times New Roman" w:eastAsia="仿宋"/>
                <w:bCs/>
                <w:sz w:val="24"/>
              </w:rPr>
              <w:t>不少于</w:t>
            </w:r>
            <w:r>
              <w:rPr>
                <w:rFonts w:hint="eastAsia" w:ascii="Times New Roman" w:hAnsi="Times New Roman" w:eastAsia="仿宋"/>
                <w:bCs/>
                <w:sz w:val="24"/>
              </w:rPr>
              <w:t>30</w:t>
            </w:r>
            <w:r>
              <w:rPr>
                <w:rFonts w:ascii="Times New Roman" w:hAnsi="Times New Roman" w:eastAsia="仿宋"/>
                <w:bCs/>
                <w:sz w:val="24"/>
              </w:rPr>
              <w:t>学时</w:t>
            </w:r>
            <w:r>
              <w:rPr>
                <w:rFonts w:hint="eastAsia" w:ascii="Times New Roman" w:hAnsi="Times New Roman" w:eastAsia="仿宋"/>
                <w:bCs/>
                <w:sz w:val="24"/>
              </w:rPr>
              <w:t>（</w:t>
            </w:r>
            <w:r>
              <w:rPr>
                <w:rFonts w:ascii="Times New Roman" w:hAnsi="Times New Roman" w:eastAsia="仿宋"/>
                <w:bCs/>
                <w:sz w:val="24"/>
              </w:rPr>
              <w:t>45</w:t>
            </w:r>
            <w:r>
              <w:rPr>
                <w:rFonts w:hint="eastAsia" w:ascii="Times New Roman" w:hAnsi="Times New Roman" w:eastAsia="仿宋"/>
                <w:bCs/>
                <w:sz w:val="24"/>
              </w:rPr>
              <w:t>分钟</w:t>
            </w:r>
            <w:r>
              <w:rPr>
                <w:rFonts w:ascii="Times New Roman" w:hAnsi="Times New Roman" w:eastAsia="仿宋"/>
                <w:bCs/>
                <w:sz w:val="24"/>
              </w:rPr>
              <w:t>/</w:t>
            </w:r>
            <w:r>
              <w:rPr>
                <w:rFonts w:hint="eastAsia" w:ascii="Times New Roman" w:hAnsi="Times New Roman" w:eastAsia="仿宋"/>
                <w:bCs/>
                <w:sz w:val="24"/>
              </w:rPr>
              <w:t>学时）</w:t>
            </w:r>
            <w:r>
              <w:rPr>
                <w:rFonts w:ascii="Times New Roman" w:hAnsi="Times New Roman" w:eastAsia="仿宋"/>
                <w:bCs/>
                <w:sz w:val="24"/>
              </w:rPr>
              <w:t>的</w:t>
            </w:r>
            <w:r>
              <w:rPr>
                <w:rFonts w:hint="eastAsia" w:ascii="Times New Roman" w:hAnsi="Times New Roman" w:eastAsia="仿宋"/>
                <w:bCs/>
                <w:sz w:val="24"/>
              </w:rPr>
              <w:t>视频</w:t>
            </w:r>
            <w:r>
              <w:rPr>
                <w:rFonts w:ascii="Times New Roman" w:hAnsi="Times New Roman" w:eastAsia="仿宋"/>
                <w:bCs/>
                <w:sz w:val="24"/>
              </w:rPr>
              <w:t>课程</w:t>
            </w:r>
            <w:r>
              <w:rPr>
                <w:rFonts w:hint="eastAsia" w:ascii="Times New Roman" w:hAnsi="Times New Roman" w:eastAsia="仿宋"/>
                <w:bCs/>
                <w:sz w:val="24"/>
              </w:rPr>
              <w:t>。</w:t>
            </w:r>
            <w:r>
              <w:rPr>
                <w:rFonts w:ascii="Times New Roman" w:hAnsi="Times New Roman" w:eastAsia="仿宋"/>
                <w:bCs/>
                <w:sz w:val="24"/>
              </w:rPr>
              <w:t>平台自动记录学时</w:t>
            </w:r>
            <w:r>
              <w:rPr>
                <w:rFonts w:hint="eastAsia" w:ascii="Times New Roman" w:hAnsi="Times New Roman" w:eastAsia="仿宋"/>
                <w:bCs/>
                <w:sz w:val="24"/>
              </w:rPr>
              <w:t>。</w:t>
            </w:r>
          </w:p>
        </w:tc>
        <w:tc>
          <w:tcPr>
            <w:tcW w:w="783" w:type="dxa"/>
            <w:vAlign w:val="center"/>
          </w:tcPr>
          <w:p>
            <w:pPr>
              <w:widowControl/>
              <w:contextualSpacing/>
              <w:jc w:val="center"/>
              <w:rPr>
                <w:rFonts w:ascii="Times New Roman" w:hAnsi="Times New Roman" w:eastAsia="仿宋"/>
                <w:sz w:val="24"/>
              </w:rPr>
            </w:pPr>
            <w:r>
              <w:rPr>
                <w:rFonts w:hint="eastAsia" w:ascii="Times New Roman" w:hAnsi="Times New Roman" w:eastAsia="仿宋"/>
                <w:sz w:val="24"/>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blHeader/>
          <w:jc w:val="center"/>
        </w:trPr>
        <w:tc>
          <w:tcPr>
            <w:tcW w:w="1421" w:type="dxa"/>
            <w:vMerge w:val="continue"/>
            <w:vAlign w:val="center"/>
          </w:tcPr>
          <w:p>
            <w:pPr>
              <w:contextualSpacing/>
              <w:jc w:val="center"/>
              <w:rPr>
                <w:rFonts w:ascii="Times New Roman" w:hAnsi="Times New Roman" w:eastAsia="仿宋"/>
                <w:b/>
                <w:sz w:val="24"/>
              </w:rPr>
            </w:pPr>
          </w:p>
        </w:tc>
        <w:tc>
          <w:tcPr>
            <w:tcW w:w="6300" w:type="dxa"/>
            <w:vAlign w:val="center"/>
          </w:tcPr>
          <w:p>
            <w:pPr>
              <w:snapToGrid w:val="0"/>
              <w:rPr>
                <w:rFonts w:ascii="Times New Roman" w:hAnsi="Times New Roman" w:eastAsia="仿宋"/>
                <w:bCs/>
                <w:sz w:val="24"/>
              </w:rPr>
            </w:pPr>
            <w:r>
              <w:rPr>
                <w:rFonts w:hint="eastAsia" w:ascii="Times New Roman" w:hAnsi="Times New Roman" w:eastAsia="仿宋"/>
                <w:b/>
                <w:sz w:val="24"/>
              </w:rPr>
              <w:t>主题研讨：</w:t>
            </w:r>
            <w:r>
              <w:rPr>
                <w:rFonts w:hint="eastAsia" w:ascii="Times New Roman" w:hAnsi="Times New Roman" w:eastAsia="仿宋"/>
                <w:bCs/>
                <w:sz w:val="24"/>
              </w:rPr>
              <w:t>围绕“我对一流课程的思考与认知”“一流课程建设的主要方法与策略”“优秀一流课程案例分析与分享”等主题</w:t>
            </w:r>
            <w:r>
              <w:rPr>
                <w:rFonts w:ascii="Times New Roman" w:hAnsi="Times New Roman" w:eastAsia="仿宋"/>
                <w:bCs/>
                <w:sz w:val="24"/>
              </w:rPr>
              <w:t>参与不少于2次的班级主题研讨活动</w:t>
            </w:r>
            <w:r>
              <w:rPr>
                <w:rFonts w:hint="eastAsia" w:ascii="Times New Roman" w:hAnsi="Times New Roman" w:eastAsia="仿宋"/>
                <w:bCs/>
                <w:sz w:val="24"/>
              </w:rPr>
              <w:t>。</w:t>
            </w:r>
          </w:p>
        </w:tc>
        <w:tc>
          <w:tcPr>
            <w:tcW w:w="783" w:type="dxa"/>
            <w:vAlign w:val="center"/>
          </w:tcPr>
          <w:p>
            <w:pPr>
              <w:widowControl/>
              <w:snapToGrid w:val="0"/>
              <w:jc w:val="center"/>
              <w:rPr>
                <w:rFonts w:ascii="Times New Roman" w:hAnsi="Times New Roman" w:eastAsia="仿宋"/>
                <w:sz w:val="24"/>
              </w:rPr>
            </w:pPr>
            <w:r>
              <w:rPr>
                <w:rFonts w:hint="eastAsia" w:ascii="Times New Roman" w:hAnsi="Times New Roman" w:eastAsia="仿宋"/>
                <w:sz w:val="24"/>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blHeader/>
          <w:jc w:val="center"/>
        </w:trPr>
        <w:tc>
          <w:tcPr>
            <w:tcW w:w="1421" w:type="dxa"/>
            <w:vAlign w:val="center"/>
          </w:tcPr>
          <w:p>
            <w:pPr>
              <w:contextualSpacing/>
              <w:jc w:val="center"/>
              <w:rPr>
                <w:rFonts w:ascii="Times New Roman" w:hAnsi="Times New Roman" w:eastAsia="仿宋"/>
                <w:b/>
                <w:sz w:val="24"/>
              </w:rPr>
            </w:pPr>
            <w:r>
              <w:rPr>
                <w:rFonts w:hint="eastAsia" w:ascii="Times New Roman" w:hAnsi="Times New Roman" w:eastAsia="仿宋"/>
                <w:b/>
                <w:sz w:val="24"/>
              </w:rPr>
              <w:t>结业考核</w:t>
            </w:r>
          </w:p>
        </w:tc>
        <w:tc>
          <w:tcPr>
            <w:tcW w:w="6300" w:type="dxa"/>
            <w:vAlign w:val="center"/>
          </w:tcPr>
          <w:p>
            <w:pPr>
              <w:snapToGrid w:val="0"/>
              <w:rPr>
                <w:rFonts w:ascii="Times New Roman" w:hAnsi="Times New Roman" w:eastAsia="仿宋"/>
                <w:bCs/>
                <w:sz w:val="24"/>
              </w:rPr>
            </w:pPr>
            <w:r>
              <w:rPr>
                <w:rFonts w:hint="eastAsia" w:ascii="Times New Roman" w:hAnsi="Times New Roman" w:eastAsia="仿宋" w:cs="Times New Roman"/>
                <w:b/>
                <w:color w:val="000000" w:themeColor="text1"/>
                <w:sz w:val="24"/>
                <w14:textFill>
                  <w14:solidFill>
                    <w14:schemeClr w14:val="tx1"/>
                  </w14:solidFill>
                </w14:textFill>
              </w:rPr>
              <w:t>研修总结</w:t>
            </w:r>
            <w:r>
              <w:rPr>
                <w:rFonts w:hint="eastAsia" w:ascii="Times New Roman" w:hAnsi="Times New Roman" w:eastAsia="仿宋" w:cs="Times New Roman"/>
                <w:b/>
                <w:sz w:val="24"/>
              </w:rPr>
              <w:t>：</w:t>
            </w:r>
            <w:r>
              <w:rPr>
                <w:rFonts w:hint="eastAsia" w:ascii="Times New Roman" w:hAnsi="Times New Roman" w:eastAsia="仿宋"/>
                <w:bCs/>
                <w:sz w:val="24"/>
              </w:rPr>
              <w:t>参训学员要结合培训目标、培训内容和自身工作实际，设计并撰写一篇“本人负责课程</w:t>
            </w:r>
            <w:r>
              <w:rPr>
                <w:rFonts w:hint="eastAsia" w:ascii="Times New Roman" w:hAnsi="Times New Roman" w:eastAsia="仿宋"/>
                <w:bCs/>
                <w:sz w:val="24"/>
                <w:lang w:val="en-US" w:eastAsia="zh-CN"/>
              </w:rPr>
              <w:t>的</w:t>
            </w:r>
            <w:r>
              <w:rPr>
                <w:rFonts w:hint="eastAsia" w:ascii="Times New Roman" w:hAnsi="Times New Roman" w:eastAsia="仿宋"/>
                <w:bCs/>
                <w:sz w:val="24"/>
              </w:rPr>
              <w:t>教学大纲（syllabus）”作为本次培训的学习成果。要求要素齐全、条理清晰、结构完整、逻辑严谨，要能体现专业化课程教学大纲（syllabus）设计的意识，字数不少于1000字。</w:t>
            </w:r>
          </w:p>
        </w:tc>
        <w:tc>
          <w:tcPr>
            <w:tcW w:w="783" w:type="dxa"/>
            <w:vAlign w:val="center"/>
          </w:tcPr>
          <w:p>
            <w:pPr>
              <w:widowControl/>
              <w:snapToGrid w:val="0"/>
              <w:jc w:val="center"/>
              <w:rPr>
                <w:rFonts w:ascii="Times New Roman" w:hAnsi="Times New Roman" w:eastAsia="仿宋"/>
                <w:sz w:val="24"/>
              </w:rPr>
            </w:pPr>
            <w:r>
              <w:rPr>
                <w:rFonts w:hint="eastAsia" w:ascii="Times New Roman" w:hAnsi="Times New Roman" w:eastAsia="仿宋"/>
                <w:sz w:val="24"/>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blHeader/>
          <w:jc w:val="center"/>
        </w:trPr>
        <w:tc>
          <w:tcPr>
            <w:tcW w:w="8504" w:type="dxa"/>
            <w:gridSpan w:val="3"/>
            <w:vAlign w:val="center"/>
          </w:tcPr>
          <w:p>
            <w:pPr>
              <w:snapToGrid w:val="0"/>
              <w:jc w:val="left"/>
              <w:rPr>
                <w:rFonts w:ascii="Times New Roman" w:hAnsi="Times New Roman" w:eastAsia="仿宋"/>
                <w:sz w:val="24"/>
              </w:rPr>
            </w:pPr>
            <w:r>
              <w:rPr>
                <w:rFonts w:hint="eastAsia" w:ascii="Times New Roman" w:hAnsi="Times New Roman" w:eastAsia="仿宋" w:cs="Times New Roman"/>
                <w:sz w:val="24"/>
              </w:rPr>
              <w:t>说明：完成各项培训考核要求且总成绩达到</w:t>
            </w:r>
            <w:r>
              <w:rPr>
                <w:rFonts w:ascii="Times New Roman" w:hAnsi="Times New Roman" w:eastAsia="仿宋" w:cs="Times New Roman"/>
                <w:sz w:val="24"/>
              </w:rPr>
              <w:t>90</w:t>
            </w:r>
            <w:r>
              <w:rPr>
                <w:rFonts w:hint="eastAsia" w:ascii="Times New Roman" w:hAnsi="Times New Roman" w:eastAsia="仿宋" w:cs="Times New Roman"/>
                <w:sz w:val="24"/>
              </w:rPr>
              <w:t>分的学员可在线打印学时证明，学习时长可计入继续教育培训学时。</w:t>
            </w:r>
          </w:p>
        </w:tc>
      </w:tr>
    </w:tbl>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六、组织实施</w:t>
      </w:r>
    </w:p>
    <w:p>
      <w:pPr>
        <w:widowControl/>
        <w:spacing w:line="560" w:lineRule="exact"/>
        <w:ind w:firstLine="560"/>
        <w:jc w:val="left"/>
        <w:rPr>
          <w:rFonts w:ascii="仿宋" w:hAnsi="仿宋" w:eastAsia="仿宋" w:cs="仿宋"/>
          <w:sz w:val="28"/>
          <w:szCs w:val="28"/>
        </w:rPr>
      </w:pPr>
      <w:r>
        <w:rPr>
          <w:rFonts w:hint="eastAsia" w:ascii="Times New Roman" w:hAnsi="Times New Roman" w:eastAsia="仿宋" w:cs="Times New Roman"/>
          <w:b/>
          <w:bCs/>
          <w:sz w:val="28"/>
          <w:szCs w:val="28"/>
          <w:u w:color="000000"/>
        </w:rPr>
        <w:t>1.工作团队。</w:t>
      </w:r>
      <w:r>
        <w:rPr>
          <w:rFonts w:hint="eastAsia" w:ascii="Times New Roman" w:hAnsi="Times New Roman" w:eastAsia="仿宋" w:cs="Times New Roman"/>
          <w:sz w:val="28"/>
          <w:szCs w:val="28"/>
          <w:u w:color="000000"/>
        </w:rPr>
        <w:t>国家教育行政学院中国教育干部网络学院成立培训项目工作组，负责培训方案的设计与具体实施工作，工作组下设项目管理、资源建设、教学管理、技术保障等人员，确保网络培训工作的顺利开展取得实效。</w:t>
      </w:r>
      <w:r>
        <w:rPr>
          <w:rFonts w:hint="eastAsia" w:ascii="Times New Roman" w:hAnsi="Times New Roman" w:eastAsia="仿宋" w:cs="Times New Roman"/>
          <w:sz w:val="28"/>
          <w:szCs w:val="28"/>
          <w:u w:color="000000"/>
        </w:rPr>
        <w:br w:type="textWrapping"/>
      </w:r>
      <w:r>
        <w:rPr>
          <w:rFonts w:hint="eastAsia" w:ascii="Times New Roman" w:hAnsi="Times New Roman" w:eastAsia="仿宋" w:cs="Times New Roman"/>
          <w:sz w:val="28"/>
          <w:szCs w:val="28"/>
          <w:u w:color="000000"/>
        </w:rPr>
        <w:t xml:space="preserve">    </w:t>
      </w:r>
      <w:r>
        <w:rPr>
          <w:rFonts w:hint="eastAsia" w:ascii="Times New Roman" w:hAnsi="Times New Roman" w:eastAsia="仿宋" w:cs="Times New Roman"/>
          <w:b/>
          <w:bCs/>
          <w:sz w:val="28"/>
          <w:szCs w:val="28"/>
          <w:u w:color="000000"/>
        </w:rPr>
        <w:t>2.组织管理。</w:t>
      </w:r>
      <w:r>
        <w:rPr>
          <w:rFonts w:hint="eastAsia" w:ascii="Times New Roman" w:hAnsi="Times New Roman" w:eastAsia="仿宋" w:cs="Times New Roman"/>
          <w:sz w:val="28"/>
          <w:szCs w:val="28"/>
          <w:u w:color="000000"/>
        </w:rPr>
        <w:t>培训以学校为单位组建班级，以班级为单位开展各项教学活动，每班需设置班级管理员1名，负责本班的教学与研讨活动的组织实施，班级管理员建议由培训组织部门相关负责同志担任。</w:t>
      </w:r>
    </w:p>
    <w:p>
      <w:pPr>
        <w:spacing w:line="560" w:lineRule="exact"/>
        <w:ind w:firstLine="560" w:firstLineChars="200"/>
        <w:rPr>
          <w:rFonts w:ascii="Times New Roman" w:hAnsi="Times New Roman" w:eastAsia="仿宋" w:cs="Times New Roman"/>
          <w:sz w:val="28"/>
          <w:szCs w:val="28"/>
          <w:u w:color="000000"/>
        </w:rPr>
      </w:pPr>
    </w:p>
    <w:p>
      <w:pPr>
        <w:spacing w:line="560" w:lineRule="exact"/>
        <w:ind w:firstLine="560" w:firstLineChars="200"/>
        <w:rPr>
          <w:rFonts w:ascii="Times New Roman" w:hAnsi="Times New Roman" w:eastAsia="仿宋" w:cs="Times New Roman"/>
          <w:sz w:val="28"/>
          <w:szCs w:val="28"/>
          <w:u w:color="000000"/>
        </w:rPr>
      </w:pPr>
      <w:r>
        <w:rPr>
          <w:rFonts w:hint="eastAsia" w:ascii="Times New Roman" w:hAnsi="Times New Roman" w:eastAsia="仿宋" w:cs="Times New Roman"/>
          <w:sz w:val="28"/>
          <w:szCs w:val="28"/>
          <w:u w:color="000000"/>
        </w:rPr>
        <w:t>附件：1.2021年高校一流课程建设与申报专题网络培训课程列表</w:t>
      </w:r>
    </w:p>
    <w:p>
      <w:pPr>
        <w:spacing w:line="560" w:lineRule="exact"/>
        <w:ind w:firstLine="1400" w:firstLineChars="500"/>
        <w:rPr>
          <w:rFonts w:ascii="Times New Roman" w:hAnsi="Times New Roman" w:eastAsia="仿宋" w:cs="Times New Roman"/>
          <w:sz w:val="28"/>
          <w:szCs w:val="28"/>
          <w:u w:color="000000"/>
        </w:rPr>
      </w:pPr>
      <w:r>
        <w:rPr>
          <w:rFonts w:hint="eastAsia" w:ascii="Times New Roman" w:hAnsi="Times New Roman" w:eastAsia="仿宋" w:cs="Times New Roman"/>
          <w:sz w:val="28"/>
          <w:szCs w:val="28"/>
          <w:u w:color="000000"/>
        </w:rPr>
        <w:t>2.2021年高校一流课程建设与申报专题网络培训报名表</w:t>
      </w:r>
    </w:p>
    <w:p>
      <w:pPr>
        <w:spacing w:line="560" w:lineRule="exact"/>
        <w:ind w:firstLine="560" w:firstLineChars="200"/>
        <w:rPr>
          <w:rFonts w:eastAsia="仿宋"/>
          <w:color w:val="000000"/>
          <w:sz w:val="28"/>
          <w:szCs w:val="28"/>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widowControl/>
        <w:spacing w:line="360" w:lineRule="auto"/>
        <w:ind w:left="-7" w:leftChars="-200" w:hanging="413" w:hangingChars="138"/>
        <w:jc w:val="left"/>
        <w:rPr>
          <w:rFonts w:ascii="Times New Roman" w:hAnsi="Times New Roman" w:eastAsia="黑体" w:cs="黑体"/>
          <w:kern w:val="44"/>
          <w:sz w:val="30"/>
          <w:szCs w:val="30"/>
        </w:rPr>
      </w:pPr>
      <w:r>
        <w:rPr>
          <w:rFonts w:hint="eastAsia" w:ascii="Times New Roman" w:hAnsi="Times New Roman" w:eastAsia="黑体" w:cs="黑体"/>
          <w:kern w:val="44"/>
          <w:sz w:val="30"/>
          <w:szCs w:val="30"/>
        </w:rPr>
        <w:t>附件1</w:t>
      </w:r>
    </w:p>
    <w:p>
      <w:pPr>
        <w:spacing w:after="100" w:afterAutospacing="1" w:line="360" w:lineRule="auto"/>
        <w:jc w:val="center"/>
        <w:rPr>
          <w:rFonts w:ascii="Times New Roman" w:hAnsi="Times New Roman" w:eastAsia="仿宋" w:cs="仿宋"/>
          <w:b/>
          <w:bCs/>
          <w:sz w:val="28"/>
          <w:szCs w:val="28"/>
        </w:rPr>
      </w:pPr>
      <w:r>
        <w:rPr>
          <w:rFonts w:hint="eastAsia" w:ascii="方正小标宋简体" w:hAnsi="Times New Roman" w:eastAsia="方正小标宋简体" w:cs="Times New Roman"/>
          <w:color w:val="000000" w:themeColor="text1"/>
          <w:sz w:val="32"/>
          <w:szCs w:val="32"/>
          <w14:textFill>
            <w14:solidFill>
              <w14:schemeClr w14:val="tx1"/>
            </w14:solidFill>
          </w14:textFill>
        </w:rPr>
        <w:t>2021年高校一流课程建设与申报专题网络培训课程列表</w:t>
      </w:r>
    </w:p>
    <w:tbl>
      <w:tblPr>
        <w:tblStyle w:val="7"/>
        <w:tblW w:w="9273" w:type="dxa"/>
        <w:jc w:val="center"/>
        <w:tblLayout w:type="fixed"/>
        <w:tblCellMar>
          <w:top w:w="0" w:type="dxa"/>
          <w:left w:w="108" w:type="dxa"/>
          <w:bottom w:w="0" w:type="dxa"/>
          <w:right w:w="108" w:type="dxa"/>
        </w:tblCellMar>
      </w:tblPr>
      <w:tblGrid>
        <w:gridCol w:w="4216"/>
        <w:gridCol w:w="1018"/>
        <w:gridCol w:w="2892"/>
        <w:gridCol w:w="1147"/>
      </w:tblGrid>
      <w:tr>
        <w:tblPrEx>
          <w:tblCellMar>
            <w:top w:w="0" w:type="dxa"/>
            <w:left w:w="108" w:type="dxa"/>
            <w:bottom w:w="0" w:type="dxa"/>
            <w:right w:w="108" w:type="dxa"/>
          </w:tblCellMar>
        </w:tblPrEx>
        <w:trPr>
          <w:trHeight w:val="642"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D7D7D7"/>
            <w:vAlign w:val="center"/>
          </w:tcPr>
          <w:p>
            <w:pPr>
              <w:widowControl/>
              <w:jc w:val="center"/>
              <w:textAlignment w:val="center"/>
              <w:rPr>
                <w:rFonts w:ascii="Times New Roman" w:hAnsi="Times New Roman" w:eastAsia="仿宋" w:cs="等线"/>
                <w:b/>
                <w:color w:val="000000"/>
                <w:sz w:val="24"/>
              </w:rPr>
            </w:pPr>
            <w:r>
              <w:rPr>
                <w:rFonts w:hint="eastAsia" w:ascii="Times New Roman" w:hAnsi="Times New Roman" w:eastAsia="仿宋" w:cs="等线"/>
                <w:b/>
                <w:color w:val="000000"/>
                <w:kern w:val="0"/>
                <w:sz w:val="24"/>
                <w:lang w:bidi="ar"/>
              </w:rPr>
              <w:t>课程名称</w:t>
            </w:r>
          </w:p>
        </w:tc>
        <w:tc>
          <w:tcPr>
            <w:tcW w:w="1018" w:type="dxa"/>
            <w:tcBorders>
              <w:top w:val="single" w:color="000000" w:sz="4" w:space="0"/>
              <w:left w:val="single" w:color="000000" w:sz="4" w:space="0"/>
              <w:bottom w:val="single" w:color="000000" w:sz="4" w:space="0"/>
              <w:right w:val="single" w:color="000000" w:sz="4" w:space="0"/>
            </w:tcBorders>
            <w:shd w:val="clear" w:color="auto" w:fill="D7D7D7"/>
            <w:vAlign w:val="center"/>
          </w:tcPr>
          <w:p>
            <w:pPr>
              <w:widowControl/>
              <w:jc w:val="center"/>
              <w:textAlignment w:val="center"/>
              <w:rPr>
                <w:rFonts w:ascii="Times New Roman" w:hAnsi="Times New Roman" w:eastAsia="仿宋" w:cs="等线"/>
                <w:b/>
                <w:color w:val="000000"/>
                <w:sz w:val="24"/>
              </w:rPr>
            </w:pPr>
            <w:r>
              <w:rPr>
                <w:rFonts w:hint="eastAsia" w:ascii="Times New Roman" w:hAnsi="Times New Roman" w:eastAsia="仿宋" w:cs="等线"/>
                <w:b/>
                <w:color w:val="000000"/>
                <w:kern w:val="0"/>
                <w:sz w:val="24"/>
                <w:lang w:bidi="ar"/>
              </w:rPr>
              <w:t>主讲人</w:t>
            </w:r>
          </w:p>
        </w:tc>
        <w:tc>
          <w:tcPr>
            <w:tcW w:w="2892" w:type="dxa"/>
            <w:tcBorders>
              <w:top w:val="single" w:color="000000" w:sz="4" w:space="0"/>
              <w:left w:val="single" w:color="000000" w:sz="4" w:space="0"/>
              <w:bottom w:val="single" w:color="000000" w:sz="4" w:space="0"/>
              <w:right w:val="single" w:color="000000" w:sz="4" w:space="0"/>
            </w:tcBorders>
            <w:shd w:val="clear" w:color="auto" w:fill="D7D7D7"/>
            <w:vAlign w:val="center"/>
          </w:tcPr>
          <w:p>
            <w:pPr>
              <w:widowControl/>
              <w:jc w:val="center"/>
              <w:textAlignment w:val="center"/>
              <w:rPr>
                <w:rFonts w:ascii="Times New Roman" w:hAnsi="Times New Roman" w:eastAsia="仿宋" w:cs="等线"/>
                <w:b/>
                <w:color w:val="000000"/>
                <w:sz w:val="24"/>
              </w:rPr>
            </w:pPr>
            <w:r>
              <w:rPr>
                <w:rFonts w:hint="eastAsia" w:ascii="Times New Roman" w:hAnsi="Times New Roman" w:eastAsia="仿宋" w:cs="等线"/>
                <w:b/>
                <w:color w:val="000000"/>
                <w:kern w:val="0"/>
                <w:sz w:val="24"/>
                <w:lang w:bidi="ar"/>
              </w:rPr>
              <w:t>单位与职务</w:t>
            </w:r>
          </w:p>
        </w:tc>
        <w:tc>
          <w:tcPr>
            <w:tcW w:w="1147" w:type="dxa"/>
            <w:tcBorders>
              <w:top w:val="single" w:color="000000" w:sz="4" w:space="0"/>
              <w:left w:val="single" w:color="000000" w:sz="4" w:space="0"/>
              <w:bottom w:val="single" w:color="000000" w:sz="4" w:space="0"/>
              <w:right w:val="single" w:color="000000" w:sz="4" w:space="0"/>
            </w:tcBorders>
            <w:shd w:val="clear" w:color="auto" w:fill="D7D7D7"/>
            <w:vAlign w:val="center"/>
          </w:tcPr>
          <w:p>
            <w:pPr>
              <w:widowControl/>
              <w:jc w:val="center"/>
              <w:textAlignment w:val="center"/>
              <w:rPr>
                <w:rFonts w:ascii="Times New Roman" w:hAnsi="Times New Roman" w:eastAsia="仿宋" w:cs="等线"/>
                <w:b/>
                <w:color w:val="000000"/>
                <w:kern w:val="0"/>
                <w:sz w:val="24"/>
                <w:lang w:bidi="ar"/>
              </w:rPr>
            </w:pPr>
            <w:r>
              <w:rPr>
                <w:rFonts w:hint="eastAsia" w:ascii="Times New Roman" w:hAnsi="Times New Roman" w:eastAsia="仿宋" w:cs="等线"/>
                <w:b/>
                <w:color w:val="000000"/>
                <w:kern w:val="0"/>
                <w:sz w:val="24"/>
                <w:lang w:bidi="ar"/>
              </w:rPr>
              <w:t>时长</w:t>
            </w:r>
          </w:p>
          <w:p>
            <w:pPr>
              <w:widowControl/>
              <w:jc w:val="center"/>
              <w:textAlignment w:val="center"/>
              <w:rPr>
                <w:rFonts w:ascii="Times New Roman" w:hAnsi="Times New Roman" w:eastAsia="仿宋" w:cs="等线"/>
                <w:b/>
                <w:color w:val="000000"/>
                <w:sz w:val="24"/>
              </w:rPr>
            </w:pPr>
            <w:r>
              <w:rPr>
                <w:rFonts w:hint="eastAsia" w:ascii="Times New Roman" w:hAnsi="Times New Roman" w:eastAsia="仿宋" w:cs="等线"/>
                <w:b/>
                <w:color w:val="000000"/>
                <w:kern w:val="0"/>
                <w:sz w:val="24"/>
                <w:lang w:bidi="ar"/>
              </w:rPr>
              <w:t>（分钟）</w:t>
            </w:r>
          </w:p>
        </w:tc>
      </w:tr>
      <w:tr>
        <w:tblPrEx>
          <w:tblCellMar>
            <w:top w:w="0" w:type="dxa"/>
            <w:left w:w="108" w:type="dxa"/>
            <w:bottom w:w="0" w:type="dxa"/>
            <w:right w:w="108" w:type="dxa"/>
          </w:tblCellMar>
        </w:tblPrEx>
        <w:trPr>
          <w:trHeight w:val="567" w:hRule="atLeast"/>
          <w:jc w:val="center"/>
        </w:trPr>
        <w:tc>
          <w:tcPr>
            <w:tcW w:w="92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kern w:val="0"/>
                <w:sz w:val="24"/>
                <w:szCs w:val="22"/>
                <w:lang w:bidi="ar"/>
              </w:rPr>
            </w:pPr>
            <w:r>
              <w:rPr>
                <w:rFonts w:hint="eastAsia" w:ascii="黑体" w:hAnsi="黑体" w:eastAsia="黑体" w:cs="等线"/>
                <w:bCs/>
                <w:color w:val="000000"/>
                <w:kern w:val="0"/>
                <w:sz w:val="24"/>
                <w:lang w:bidi="ar"/>
              </w:rPr>
              <w:t>一流课程建设的理论基础</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金课的基本特征与脑科学原理</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王  珏</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黑体"/>
                <w:color w:val="000000"/>
                <w:kern w:val="0"/>
                <w:sz w:val="24"/>
                <w:szCs w:val="22"/>
                <w:lang w:bidi="ar"/>
              </w:rPr>
              <w:t>华中师范大学特聘研究员</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13</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黑体"/>
                <w:color w:val="000000"/>
                <w:sz w:val="24"/>
                <w:szCs w:val="22"/>
              </w:rPr>
            </w:pPr>
            <w:r>
              <w:rPr>
                <w:rFonts w:hint="eastAsia" w:ascii="Times New Roman" w:hAnsi="Times New Roman" w:eastAsia="仿宋" w:cs="黑体"/>
                <w:color w:val="000000"/>
                <w:kern w:val="0"/>
                <w:sz w:val="24"/>
                <w:szCs w:val="22"/>
                <w:lang w:bidi="ar"/>
              </w:rPr>
              <w:t>金课的脑科学原理1：以意义感为前提</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黑体"/>
                <w:color w:val="000000"/>
                <w:sz w:val="24"/>
                <w:szCs w:val="22"/>
              </w:rPr>
            </w:pPr>
            <w:r>
              <w:rPr>
                <w:rFonts w:hint="eastAsia" w:ascii="Times New Roman" w:hAnsi="Times New Roman" w:eastAsia="仿宋" w:cs="黑体"/>
                <w:color w:val="000000"/>
                <w:kern w:val="0"/>
                <w:sz w:val="24"/>
                <w:szCs w:val="22"/>
                <w:lang w:bidi="ar"/>
              </w:rPr>
              <w:t>王  珏</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黑体"/>
                <w:color w:val="000000"/>
                <w:sz w:val="24"/>
                <w:szCs w:val="22"/>
              </w:rPr>
            </w:pPr>
            <w:r>
              <w:rPr>
                <w:rFonts w:hint="eastAsia" w:ascii="Times New Roman" w:hAnsi="Times New Roman" w:eastAsia="仿宋" w:cs="黑体"/>
                <w:color w:val="000000"/>
                <w:kern w:val="0"/>
                <w:sz w:val="24"/>
                <w:szCs w:val="22"/>
                <w:lang w:bidi="ar"/>
              </w:rPr>
              <w:t>华中师范大学特聘研究员</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50</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黑体"/>
                <w:color w:val="000000"/>
                <w:sz w:val="24"/>
                <w:szCs w:val="22"/>
              </w:rPr>
            </w:pPr>
            <w:r>
              <w:rPr>
                <w:rFonts w:hint="eastAsia" w:ascii="Times New Roman" w:hAnsi="Times New Roman" w:eastAsia="仿宋" w:cs="黑体"/>
                <w:color w:val="000000"/>
                <w:kern w:val="0"/>
                <w:sz w:val="24"/>
                <w:szCs w:val="22"/>
                <w:lang w:bidi="ar"/>
              </w:rPr>
              <w:t>金课的脑科学原理2：以幽默悬念为武器</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黑体"/>
                <w:color w:val="000000"/>
                <w:sz w:val="24"/>
                <w:szCs w:val="22"/>
              </w:rPr>
            </w:pPr>
            <w:r>
              <w:rPr>
                <w:rFonts w:hint="eastAsia" w:ascii="Times New Roman" w:hAnsi="Times New Roman" w:eastAsia="仿宋" w:cs="黑体"/>
                <w:color w:val="000000"/>
                <w:kern w:val="0"/>
                <w:sz w:val="24"/>
                <w:szCs w:val="22"/>
                <w:lang w:bidi="ar"/>
              </w:rPr>
              <w:t>王  珏</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黑体"/>
                <w:color w:val="000000"/>
                <w:sz w:val="24"/>
                <w:szCs w:val="22"/>
              </w:rPr>
            </w:pPr>
            <w:r>
              <w:rPr>
                <w:rFonts w:hint="eastAsia" w:ascii="Times New Roman" w:hAnsi="Times New Roman" w:eastAsia="仿宋" w:cs="黑体"/>
                <w:color w:val="000000"/>
                <w:kern w:val="0"/>
                <w:sz w:val="24"/>
                <w:szCs w:val="22"/>
                <w:lang w:bidi="ar"/>
              </w:rPr>
              <w:t>华中师范大学特聘研究员</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38</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“导客为主”的教学模式原理与实践</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冯务中</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黑体"/>
                <w:color w:val="000000"/>
                <w:kern w:val="0"/>
                <w:sz w:val="24"/>
                <w:szCs w:val="22"/>
                <w:lang w:bidi="ar"/>
              </w:rPr>
              <w:t>清华大学马克思主义学院教授</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60</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金课背后的心理学理论——走出心理舒适区原则</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李  芳</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对外经贸大学副研究员</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43</w:t>
            </w:r>
          </w:p>
        </w:tc>
      </w:tr>
      <w:tr>
        <w:tblPrEx>
          <w:tblCellMar>
            <w:top w:w="0" w:type="dxa"/>
            <w:left w:w="108" w:type="dxa"/>
            <w:bottom w:w="0" w:type="dxa"/>
            <w:right w:w="108" w:type="dxa"/>
          </w:tblCellMar>
        </w:tblPrEx>
        <w:trPr>
          <w:trHeight w:val="567" w:hRule="atLeast"/>
          <w:jc w:val="center"/>
        </w:trPr>
        <w:tc>
          <w:tcPr>
            <w:tcW w:w="92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kern w:val="0"/>
                <w:sz w:val="24"/>
                <w:szCs w:val="22"/>
                <w:lang w:bidi="ar"/>
              </w:rPr>
            </w:pPr>
            <w:r>
              <w:rPr>
                <w:rFonts w:hint="eastAsia" w:ascii="黑体" w:hAnsi="黑体" w:eastAsia="黑体" w:cs="等线"/>
                <w:bCs/>
                <w:color w:val="000000"/>
                <w:kern w:val="0"/>
                <w:sz w:val="24"/>
                <w:lang w:bidi="ar"/>
              </w:rPr>
              <w:t>一流课程建设的基本范式</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themeColor="text1"/>
                <w:sz w:val="24"/>
                <w14:textFill>
                  <w14:solidFill>
                    <w14:schemeClr w14:val="tx1"/>
                  </w14:solidFill>
                </w14:textFill>
              </w:rPr>
            </w:pPr>
            <w:r>
              <w:fldChar w:fldCharType="begin"/>
            </w:r>
            <w:r>
              <w:instrText xml:space="preserve"> HYPERLINK "https://study.enaea.edu.cn/kecheng/detail_279046" \o "https://study.enaea.edu.cn/kecheng/detail_279046" </w:instrText>
            </w:r>
            <w:r>
              <w:fldChar w:fldCharType="separate"/>
            </w:r>
            <w:r>
              <w:rPr>
                <w:rStyle w:val="11"/>
                <w:rFonts w:hint="eastAsia" w:ascii="Times New Roman" w:hAnsi="Times New Roman" w:eastAsia="仿宋" w:cs="等线"/>
                <w:color w:val="000000" w:themeColor="text1"/>
                <w:sz w:val="24"/>
                <w:u w:val="none"/>
                <w14:textFill>
                  <w14:solidFill>
                    <w14:schemeClr w14:val="tx1"/>
                  </w14:solidFill>
                </w14:textFill>
              </w:rPr>
              <w:t>OBE教育教学理念简介</w:t>
            </w:r>
            <w:r>
              <w:rPr>
                <w:rStyle w:val="11"/>
                <w:rFonts w:hint="eastAsia" w:ascii="Times New Roman" w:hAnsi="Times New Roman" w:eastAsia="仿宋" w:cs="等线"/>
                <w:color w:val="000000" w:themeColor="text1"/>
                <w:sz w:val="24"/>
                <w:u w:val="none"/>
                <w14:textFill>
                  <w14:solidFill>
                    <w14:schemeClr w14:val="tx1"/>
                  </w14:solidFill>
                </w14:textFill>
              </w:rPr>
              <w:fldChar w:fldCharType="end"/>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郭江峰</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imes New Roman" w:hAnsi="Times New Roman" w:eastAsia="仿宋" w:cs="等线"/>
                <w:color w:val="000000"/>
                <w:kern w:val="0"/>
                <w:sz w:val="24"/>
                <w:lang w:bidi="ar"/>
              </w:rPr>
            </w:pPr>
            <w:r>
              <w:rPr>
                <w:rFonts w:hint="eastAsia" w:ascii="Times New Roman" w:hAnsi="Times New Roman" w:eastAsia="仿宋" w:cs="等线"/>
                <w:color w:val="000000"/>
                <w:kern w:val="0"/>
                <w:sz w:val="24"/>
                <w:lang w:val="en-US" w:eastAsia="zh-CN" w:bidi="ar"/>
              </w:rPr>
              <w:t>浙江理工大学教学发展中心主任、教授</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13</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themeColor="text1"/>
                <w:sz w:val="24"/>
                <w14:textFill>
                  <w14:solidFill>
                    <w14:schemeClr w14:val="tx1"/>
                  </w14:solidFill>
                </w14:textFill>
              </w:rPr>
            </w:pPr>
            <w:r>
              <w:rPr>
                <w:rFonts w:hint="eastAsia" w:ascii="Times New Roman" w:hAnsi="Times New Roman" w:eastAsia="仿宋" w:cs="等线"/>
                <w:color w:val="000000" w:themeColor="text1"/>
                <w:kern w:val="0"/>
                <w:sz w:val="24"/>
                <w:lang w:bidi="ar"/>
                <w14:textFill>
                  <w14:solidFill>
                    <w14:schemeClr w14:val="tx1"/>
                  </w14:solidFill>
                </w14:textFill>
              </w:rPr>
              <w:t>高校金课的基本范式——以学生为中心的教法</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李丹青</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imes New Roman" w:hAnsi="Times New Roman" w:eastAsia="仿宋" w:cs="等线"/>
                <w:color w:val="000000"/>
                <w:kern w:val="0"/>
                <w:sz w:val="24"/>
                <w:lang w:bidi="ar"/>
              </w:rPr>
            </w:pPr>
            <w:r>
              <w:rPr>
                <w:rFonts w:hint="eastAsia" w:ascii="Times New Roman" w:hAnsi="Times New Roman" w:eastAsia="仿宋" w:cs="等线"/>
                <w:color w:val="000000"/>
                <w:kern w:val="0"/>
                <w:sz w:val="24"/>
                <w:lang w:val="en-US" w:eastAsia="zh-CN" w:bidi="ar"/>
              </w:rPr>
              <w:t>浙江大学工程师学院兼任教授</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52</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themeColor="text1"/>
                <w:sz w:val="24"/>
                <w14:textFill>
                  <w14:solidFill>
                    <w14:schemeClr w14:val="tx1"/>
                  </w14:solidFill>
                </w14:textFill>
              </w:rPr>
            </w:pPr>
            <w:r>
              <w:rPr>
                <w:rFonts w:hint="eastAsia" w:ascii="Times New Roman" w:hAnsi="Times New Roman" w:eastAsia="仿宋" w:cs="等线"/>
                <w:color w:val="000000" w:themeColor="text1"/>
                <w:kern w:val="0"/>
                <w:sz w:val="24"/>
                <w:lang w:bidi="ar"/>
                <w14:textFill>
                  <w14:solidFill>
                    <w14:schemeClr w14:val="tx1"/>
                  </w14:solidFill>
                </w14:textFill>
              </w:rPr>
              <w:t>高校金课的基本范式——以学生为中心的学法</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李丹青</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imes New Roman" w:hAnsi="Times New Roman" w:eastAsia="仿宋" w:cs="等线"/>
                <w:color w:val="000000"/>
                <w:kern w:val="0"/>
                <w:sz w:val="24"/>
                <w:lang w:bidi="ar"/>
              </w:rPr>
            </w:pPr>
            <w:r>
              <w:rPr>
                <w:rFonts w:hint="eastAsia" w:ascii="Times New Roman" w:hAnsi="Times New Roman" w:eastAsia="仿宋" w:cs="等线"/>
                <w:color w:val="000000"/>
                <w:kern w:val="0"/>
                <w:sz w:val="24"/>
                <w:lang w:val="en-US" w:eastAsia="zh-CN" w:bidi="ar"/>
              </w:rPr>
              <w:t>浙江大学工程师学院兼任教授</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12</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themeColor="text1"/>
                <w:sz w:val="24"/>
                <w14:textFill>
                  <w14:solidFill>
                    <w14:schemeClr w14:val="tx1"/>
                  </w14:solidFill>
                </w14:textFill>
              </w:rPr>
            </w:pPr>
            <w:r>
              <w:rPr>
                <w:rFonts w:hint="eastAsia" w:ascii="Times New Roman" w:hAnsi="Times New Roman" w:eastAsia="仿宋" w:cs="等线"/>
                <w:color w:val="000000" w:themeColor="text1"/>
                <w:kern w:val="0"/>
                <w:sz w:val="24"/>
                <w:lang w:bidi="ar"/>
                <w14:textFill>
                  <w14:solidFill>
                    <w14:schemeClr w14:val="tx1"/>
                  </w14:solidFill>
                </w14:textFill>
              </w:rPr>
              <w:t>以学生为中心的有效教学设计模型——五星教学原理</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周付安</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imes New Roman" w:hAnsi="Times New Roman" w:eastAsia="仿宋" w:cs="等线"/>
                <w:color w:val="000000"/>
                <w:kern w:val="0"/>
                <w:sz w:val="24"/>
                <w:lang w:bidi="ar"/>
              </w:rPr>
            </w:pPr>
            <w:r>
              <w:rPr>
                <w:rFonts w:hint="eastAsia" w:ascii="Times New Roman" w:hAnsi="Times New Roman" w:eastAsia="仿宋" w:cs="等线"/>
                <w:color w:val="000000"/>
                <w:kern w:val="0"/>
                <w:sz w:val="24"/>
                <w:lang w:val="en-US" w:eastAsia="zh-CN" w:bidi="ar"/>
              </w:rPr>
              <w:t>北京工商大学经济学院讲师</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115</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themeColor="text1"/>
                <w:sz w:val="24"/>
                <w14:textFill>
                  <w14:solidFill>
                    <w14:schemeClr w14:val="tx1"/>
                  </w14:solidFill>
                </w14:textFill>
              </w:rPr>
            </w:pPr>
            <w:r>
              <w:rPr>
                <w:rFonts w:hint="eastAsia" w:ascii="Times New Roman" w:hAnsi="Times New Roman" w:eastAsia="仿宋" w:cs="等线"/>
                <w:color w:val="000000" w:themeColor="text1"/>
                <w:kern w:val="0"/>
                <w:sz w:val="24"/>
                <w:lang w:bidi="ar"/>
                <w14:textFill>
                  <w14:solidFill>
                    <w14:schemeClr w14:val="tx1"/>
                  </w14:solidFill>
                </w14:textFill>
              </w:rPr>
              <w:t>金课落地的关键：考试与学习评价创新</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邹方东</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imes New Roman" w:hAnsi="Times New Roman" w:eastAsia="仿宋" w:cs="等线"/>
                <w:color w:val="000000"/>
                <w:kern w:val="0"/>
                <w:sz w:val="24"/>
                <w:lang w:bidi="ar"/>
              </w:rPr>
            </w:pPr>
            <w:r>
              <w:rPr>
                <w:rFonts w:hint="eastAsia" w:ascii="Times New Roman" w:hAnsi="Times New Roman" w:eastAsia="仿宋" w:cs="等线"/>
                <w:color w:val="000000"/>
                <w:kern w:val="0"/>
                <w:sz w:val="24"/>
                <w:lang w:val="en-US" w:eastAsia="zh-CN" w:bidi="ar"/>
              </w:rPr>
              <w:t>四川大学生命学院教授</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102</w:t>
            </w:r>
          </w:p>
        </w:tc>
      </w:tr>
      <w:tr>
        <w:tblPrEx>
          <w:tblCellMar>
            <w:top w:w="0" w:type="dxa"/>
            <w:left w:w="108" w:type="dxa"/>
            <w:bottom w:w="0" w:type="dxa"/>
            <w:right w:w="108" w:type="dxa"/>
          </w:tblCellMar>
        </w:tblPrEx>
        <w:trPr>
          <w:trHeight w:val="567" w:hRule="atLeast"/>
          <w:jc w:val="center"/>
        </w:trPr>
        <w:tc>
          <w:tcPr>
            <w:tcW w:w="92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kern w:val="0"/>
                <w:sz w:val="24"/>
                <w:szCs w:val="22"/>
                <w:lang w:bidi="ar"/>
              </w:rPr>
            </w:pPr>
            <w:r>
              <w:rPr>
                <w:rFonts w:hint="eastAsia" w:ascii="黑体" w:hAnsi="黑体" w:eastAsia="黑体" w:cs="等线"/>
                <w:bCs/>
                <w:color w:val="000000"/>
                <w:kern w:val="0"/>
                <w:sz w:val="24"/>
                <w:lang w:bidi="ar"/>
              </w:rPr>
              <w:t>一流课程建设的实现路径</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themeColor="text1"/>
                <w:sz w:val="24"/>
                <w14:textFill>
                  <w14:solidFill>
                    <w14:schemeClr w14:val="tx1"/>
                  </w14:solidFill>
                </w14:textFill>
              </w:rPr>
            </w:pPr>
            <w:r>
              <w:rPr>
                <w:rFonts w:hint="eastAsia" w:ascii="Times New Roman" w:hAnsi="Times New Roman" w:eastAsia="仿宋" w:cs="等线"/>
                <w:color w:val="000000" w:themeColor="text1"/>
                <w:kern w:val="0"/>
                <w:sz w:val="24"/>
                <w:lang w:bidi="ar"/>
                <w14:textFill>
                  <w14:solidFill>
                    <w14:schemeClr w14:val="tx1"/>
                  </w14:solidFill>
                </w14:textFill>
              </w:rPr>
              <w:t>高校金课的设计与开发——OBE导向的反向课程设计</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戚世梁</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imes New Roman" w:hAnsi="Times New Roman" w:eastAsia="仿宋" w:cs="等线"/>
                <w:color w:val="000000"/>
                <w:kern w:val="0"/>
                <w:sz w:val="24"/>
                <w:lang w:val="en-US" w:eastAsia="zh-CN" w:bidi="ar"/>
              </w:rPr>
            </w:pPr>
            <w:r>
              <w:rPr>
                <w:rFonts w:hint="eastAsia" w:ascii="Times New Roman" w:hAnsi="Times New Roman" w:eastAsia="仿宋" w:cs="等线"/>
                <w:color w:val="000000"/>
                <w:kern w:val="0"/>
                <w:sz w:val="24"/>
                <w:lang w:val="en-US" w:eastAsia="zh-CN" w:bidi="ar"/>
              </w:rPr>
              <w:t>西安欧亚学院校级高级顾问、首席培训师</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57</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themeColor="text1"/>
                <w:sz w:val="24"/>
                <w14:textFill>
                  <w14:solidFill>
                    <w14:schemeClr w14:val="tx1"/>
                  </w14:solidFill>
                </w14:textFill>
              </w:rPr>
            </w:pPr>
            <w:r>
              <w:fldChar w:fldCharType="begin"/>
            </w:r>
            <w:r>
              <w:instrText xml:space="preserve"> HYPERLINK "https://study.enaea.edu.cn/kecheng/detail_279044" \o "https://study.enaea.edu.cn/kecheng/detail_279044" </w:instrText>
            </w:r>
            <w:r>
              <w:fldChar w:fldCharType="separate"/>
            </w:r>
            <w:r>
              <w:rPr>
                <w:rStyle w:val="11"/>
                <w:rFonts w:hint="eastAsia" w:ascii="Times New Roman" w:hAnsi="Times New Roman" w:eastAsia="仿宋" w:cs="等线"/>
                <w:color w:val="000000" w:themeColor="text1"/>
                <w:sz w:val="24"/>
                <w:u w:val="none"/>
                <w14:textFill>
                  <w14:solidFill>
                    <w14:schemeClr w14:val="tx1"/>
                  </w14:solidFill>
                </w14:textFill>
              </w:rPr>
              <w:t>OBE理念下教与学的实施</w:t>
            </w:r>
            <w:r>
              <w:rPr>
                <w:rStyle w:val="11"/>
                <w:rFonts w:hint="eastAsia" w:ascii="Times New Roman" w:hAnsi="Times New Roman" w:eastAsia="仿宋" w:cs="等线"/>
                <w:color w:val="000000" w:themeColor="text1"/>
                <w:sz w:val="24"/>
                <w:u w:val="none"/>
                <w14:textFill>
                  <w14:solidFill>
                    <w14:schemeClr w14:val="tx1"/>
                  </w14:solidFill>
                </w14:textFill>
              </w:rPr>
              <w:fldChar w:fldCharType="end"/>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郭江峰</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imes New Roman" w:hAnsi="Times New Roman" w:eastAsia="仿宋" w:cs="等线"/>
                <w:color w:val="000000"/>
                <w:kern w:val="0"/>
                <w:sz w:val="24"/>
                <w:lang w:val="en-US" w:eastAsia="zh-CN" w:bidi="ar"/>
              </w:rPr>
            </w:pPr>
            <w:r>
              <w:rPr>
                <w:rFonts w:hint="eastAsia" w:ascii="Times New Roman" w:hAnsi="Times New Roman" w:eastAsia="仿宋" w:cs="等线"/>
                <w:color w:val="000000"/>
                <w:kern w:val="0"/>
                <w:sz w:val="24"/>
                <w:lang w:val="en-US" w:eastAsia="zh-CN" w:bidi="ar"/>
              </w:rPr>
              <w:t>浙江理工大学教学发展中心主任、教授</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20</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高校金课设计的实操文本——高水平人才培养方案的设计、编写与修订</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郭建校</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黑体"/>
                <w:color w:val="000000"/>
                <w:sz w:val="24"/>
                <w:szCs w:val="22"/>
              </w:rPr>
            </w:pPr>
            <w:r>
              <w:rPr>
                <w:rFonts w:hint="eastAsia" w:ascii="Times New Roman" w:hAnsi="Times New Roman" w:eastAsia="仿宋" w:cs="黑体"/>
                <w:color w:val="000000"/>
                <w:kern w:val="0"/>
                <w:sz w:val="24"/>
                <w:szCs w:val="22"/>
                <w:lang w:bidi="ar"/>
              </w:rPr>
              <w:t>天津外国语大学国际商学院院长</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143</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高校金课设计实操文本——高水平课程教学大纲的设计、撰写与诊断</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李  芳</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对外经贸大学副研究员</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131</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高校金课的环境建设——高校金课如何建构智慧教学新场景</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周华丽</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北京联合大学研究员</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29</w:t>
            </w:r>
          </w:p>
        </w:tc>
      </w:tr>
    </w:tbl>
    <w:p>
      <w:pPr>
        <w:widowControl/>
        <w:jc w:val="center"/>
        <w:textAlignment w:val="center"/>
        <w:rPr>
          <w:rFonts w:ascii="黑体" w:hAnsi="黑体" w:eastAsia="黑体" w:cs="等线"/>
          <w:bCs/>
          <w:color w:val="000000"/>
          <w:kern w:val="0"/>
          <w:sz w:val="24"/>
          <w:lang w:bidi="ar"/>
        </w:rPr>
      </w:pPr>
      <w:r>
        <w:rPr>
          <w:rFonts w:hint="eastAsia" w:ascii="黑体" w:hAnsi="黑体" w:eastAsia="黑体" w:cs="等线"/>
          <w:bCs/>
          <w:color w:val="000000"/>
          <w:kern w:val="0"/>
          <w:sz w:val="24"/>
          <w:lang w:bidi="ar"/>
        </w:rPr>
        <w:br w:type="page"/>
      </w:r>
    </w:p>
    <w:tbl>
      <w:tblPr>
        <w:tblStyle w:val="7"/>
        <w:tblW w:w="9273" w:type="dxa"/>
        <w:jc w:val="center"/>
        <w:tblLayout w:type="fixed"/>
        <w:tblCellMar>
          <w:top w:w="0" w:type="dxa"/>
          <w:left w:w="108" w:type="dxa"/>
          <w:bottom w:w="0" w:type="dxa"/>
          <w:right w:w="108" w:type="dxa"/>
        </w:tblCellMar>
      </w:tblPr>
      <w:tblGrid>
        <w:gridCol w:w="4216"/>
        <w:gridCol w:w="1018"/>
        <w:gridCol w:w="2892"/>
        <w:gridCol w:w="1147"/>
      </w:tblGrid>
      <w:tr>
        <w:tblPrEx>
          <w:tblCellMar>
            <w:top w:w="0" w:type="dxa"/>
            <w:left w:w="108" w:type="dxa"/>
            <w:bottom w:w="0" w:type="dxa"/>
            <w:right w:w="108" w:type="dxa"/>
          </w:tblCellMar>
        </w:tblPrEx>
        <w:trPr>
          <w:trHeight w:val="567" w:hRule="atLeast"/>
          <w:jc w:val="center"/>
        </w:trPr>
        <w:tc>
          <w:tcPr>
            <w:tcW w:w="92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kern w:val="0"/>
                <w:sz w:val="24"/>
                <w:szCs w:val="22"/>
                <w:lang w:bidi="ar"/>
              </w:rPr>
            </w:pPr>
            <w:r>
              <w:rPr>
                <w:rFonts w:hint="eastAsia" w:ascii="黑体" w:hAnsi="黑体" w:eastAsia="黑体" w:cs="等线"/>
                <w:bCs/>
                <w:color w:val="000000"/>
                <w:kern w:val="0"/>
                <w:sz w:val="24"/>
                <w:lang w:bidi="ar"/>
              </w:rPr>
              <w:t>一流课程的核心要素与评价标准</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课程质量评价浅谈</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吴  平</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华中农业大学党委常委、副校长</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44</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高校课堂教学评价的理论和方法</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刘振天</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教育部高等教育教学评估中心院校教学评估处处长</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135</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我们该有什么样的教学评价</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李丹青</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浙江大学工程师学院兼任教授</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70</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基于OBE理念的课程建设与成效评估</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孙建荣</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澳门科技大学教授</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74</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用课程诊改带动教学质量提升</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吴访升</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常州工程职业技术学院党委副书记、院长</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123</w:t>
            </w:r>
          </w:p>
        </w:tc>
      </w:tr>
      <w:tr>
        <w:tblPrEx>
          <w:tblCellMar>
            <w:top w:w="0" w:type="dxa"/>
            <w:left w:w="108" w:type="dxa"/>
            <w:bottom w:w="0" w:type="dxa"/>
            <w:right w:w="108" w:type="dxa"/>
          </w:tblCellMar>
        </w:tblPrEx>
        <w:trPr>
          <w:trHeight w:val="567" w:hRule="atLeast"/>
          <w:jc w:val="center"/>
        </w:trPr>
        <w:tc>
          <w:tcPr>
            <w:tcW w:w="92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kern w:val="0"/>
                <w:sz w:val="24"/>
                <w:szCs w:val="22"/>
                <w:lang w:bidi="ar"/>
              </w:rPr>
            </w:pPr>
            <w:r>
              <w:rPr>
                <w:rFonts w:hint="eastAsia" w:ascii="黑体" w:hAnsi="黑体" w:eastAsia="黑体" w:cs="等线"/>
                <w:bCs/>
                <w:color w:val="000000"/>
                <w:kern w:val="0"/>
                <w:sz w:val="24"/>
                <w:lang w:bidi="ar"/>
              </w:rPr>
              <w:t>一流课程的申报与评审</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一流本科课程建设与申报政策解读</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余建波</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上海交通大学慕课研究院院长助理</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125</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一流课程评审指标解读</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马昱春</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清华大学计算机系副教授</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98</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一流课程申报材料撰写与案例分享</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余建波</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上海交通大学慕课研究院院长助理</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103</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五类一流课程的教学设计要点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余建波</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上海交通大学慕课研究院院长助理</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104</w:t>
            </w:r>
          </w:p>
        </w:tc>
      </w:tr>
      <w:tr>
        <w:tblPrEx>
          <w:tblCellMar>
            <w:top w:w="0" w:type="dxa"/>
            <w:left w:w="108" w:type="dxa"/>
            <w:bottom w:w="0" w:type="dxa"/>
            <w:right w:w="108" w:type="dxa"/>
          </w:tblCellMar>
        </w:tblPrEx>
        <w:trPr>
          <w:trHeight w:val="567" w:hRule="atLeast"/>
          <w:jc w:val="center"/>
        </w:trPr>
        <w:tc>
          <w:tcPr>
            <w:tcW w:w="42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线上线下混合式一流课程的建设与申报</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余建波</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仿宋" w:cs="等线"/>
                <w:color w:val="000000"/>
                <w:sz w:val="24"/>
              </w:rPr>
            </w:pPr>
            <w:r>
              <w:rPr>
                <w:rFonts w:hint="eastAsia" w:ascii="Times New Roman" w:hAnsi="Times New Roman" w:eastAsia="仿宋" w:cs="等线"/>
                <w:color w:val="000000"/>
                <w:kern w:val="0"/>
                <w:sz w:val="24"/>
                <w:lang w:bidi="ar"/>
              </w:rPr>
              <w:t>上海交通大学慕课研究院院长助理</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eastAsia="仿宋" w:cs="等线"/>
                <w:color w:val="000000"/>
                <w:sz w:val="24"/>
                <w:szCs w:val="22"/>
              </w:rPr>
            </w:pPr>
            <w:r>
              <w:rPr>
                <w:rFonts w:hint="eastAsia" w:ascii="Times New Roman" w:hAnsi="Times New Roman" w:eastAsia="仿宋" w:cs="等线"/>
                <w:color w:val="000000"/>
                <w:kern w:val="0"/>
                <w:sz w:val="24"/>
                <w:szCs w:val="22"/>
                <w:lang w:bidi="ar"/>
              </w:rPr>
              <w:t>121</w:t>
            </w:r>
          </w:p>
        </w:tc>
      </w:tr>
    </w:tbl>
    <w:p>
      <w:pPr>
        <w:spacing w:before="156" w:beforeLines="50"/>
        <w:jc w:val="left"/>
        <w:rPr>
          <w:rFonts w:ascii="Times New Roman" w:hAnsi="Times New Roman" w:eastAsia="仿宋" w:cs="仿宋"/>
        </w:rPr>
      </w:pPr>
      <w:r>
        <w:rPr>
          <w:rFonts w:hint="eastAsia" w:ascii="Times New Roman" w:hAnsi="Times New Roman" w:eastAsia="仿宋" w:cs="仿宋"/>
          <w:bCs/>
        </w:rPr>
        <w:t>注：1.</w:t>
      </w:r>
      <w:r>
        <w:rPr>
          <w:rFonts w:hint="eastAsia" w:ascii="Times New Roman" w:hAnsi="Times New Roman" w:eastAsia="仿宋" w:cs="仿宋"/>
        </w:rPr>
        <w:t>个别课程或稍有调整，请以平台最终发布课程为准；</w:t>
      </w:r>
    </w:p>
    <w:p>
      <w:pPr>
        <w:ind w:firstLine="420" w:firstLineChars="200"/>
        <w:jc w:val="left"/>
        <w:rPr>
          <w:rFonts w:ascii="Times New Roman" w:hAnsi="Times New Roman" w:eastAsia="仿宋" w:cs="仿宋"/>
          <w:bCs/>
        </w:rPr>
      </w:pPr>
      <w:r>
        <w:rPr>
          <w:rFonts w:hint="eastAsia" w:ascii="Times New Roman" w:hAnsi="Times New Roman" w:eastAsia="仿宋" w:cs="仿宋"/>
        </w:rPr>
        <w:t>2.课程主讲人职务为课程录制时的职务。</w:t>
      </w:r>
    </w:p>
    <w:p>
      <w:r>
        <w:br w:type="page"/>
      </w:r>
    </w:p>
    <w:p>
      <w:pPr>
        <w:spacing w:line="360" w:lineRule="auto"/>
        <w:rPr>
          <w:rFonts w:ascii="黑体" w:hAnsi="黑体" w:eastAsia="黑体" w:cs="黑体"/>
          <w:sz w:val="28"/>
          <w:szCs w:val="28"/>
        </w:rPr>
      </w:pPr>
      <w:r>
        <w:rPr>
          <w:rFonts w:hint="eastAsia" w:ascii="黑体" w:hAnsi="黑体" w:eastAsia="黑体" w:cs="黑体"/>
          <w:sz w:val="28"/>
          <w:szCs w:val="28"/>
        </w:rPr>
        <w:t>附件2</w:t>
      </w:r>
    </w:p>
    <w:p>
      <w:pPr>
        <w:spacing w:after="100" w:afterAutospacing="1" w:line="360" w:lineRule="auto"/>
        <w:jc w:val="center"/>
        <w:rPr>
          <w:rFonts w:ascii="方正小标宋简体" w:hAnsi="Times New Roman" w:eastAsia="方正小标宋简体" w:cs="Times New Roman"/>
          <w:color w:val="000000" w:themeColor="text1"/>
          <w:sz w:val="32"/>
          <w:szCs w:val="32"/>
          <w14:textFill>
            <w14:solidFill>
              <w14:schemeClr w14:val="tx1"/>
            </w14:solidFill>
          </w14:textFill>
        </w:rPr>
      </w:pPr>
      <w:r>
        <w:rPr>
          <w:rFonts w:hint="eastAsia" w:ascii="方正小标宋简体" w:hAnsi="Times New Roman" w:eastAsia="方正小标宋简体" w:cs="Times New Roman"/>
          <w:color w:val="000000" w:themeColor="text1"/>
          <w:sz w:val="32"/>
          <w:szCs w:val="32"/>
          <w14:textFill>
            <w14:solidFill>
              <w14:schemeClr w14:val="tx1"/>
            </w14:solidFill>
          </w14:textFill>
        </w:rPr>
        <w:t>2021年高校一流课程建设与申报专题网络培训报名表</w:t>
      </w:r>
    </w:p>
    <w:tbl>
      <w:tblPr>
        <w:tblStyle w:val="7"/>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1148"/>
        <w:gridCol w:w="2726"/>
        <w:gridCol w:w="574"/>
        <w:gridCol w:w="717"/>
        <w:gridCol w:w="2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520"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bookmarkStart w:id="0" w:name="_Hlk60933153"/>
            <w:r>
              <w:rPr>
                <w:rFonts w:ascii="Times New Roman" w:hAnsi="Times New Roman" w:eastAsia="仿宋" w:cs="Times New Roman"/>
                <w:b/>
                <w:sz w:val="24"/>
              </w:rPr>
              <w:t>培训需求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2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单位名称</w:t>
            </w:r>
          </w:p>
        </w:tc>
        <w:tc>
          <w:tcPr>
            <w:tcW w:w="659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2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参训对象</w:t>
            </w:r>
          </w:p>
        </w:tc>
        <w:tc>
          <w:tcPr>
            <w:tcW w:w="659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2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开班时间</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参加人数</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2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通讯地址</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邮编</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负</w:t>
            </w:r>
          </w:p>
          <w:p>
            <w:pPr>
              <w:jc w:val="center"/>
              <w:rPr>
                <w:rFonts w:ascii="Times New Roman" w:hAnsi="Times New Roman" w:eastAsia="仿宋" w:cs="Times New Roman"/>
                <w:b/>
                <w:sz w:val="24"/>
              </w:rPr>
            </w:pPr>
            <w:r>
              <w:rPr>
                <w:rFonts w:ascii="Times New Roman" w:hAnsi="Times New Roman" w:eastAsia="仿宋" w:cs="Times New Roman"/>
                <w:b/>
                <w:sz w:val="24"/>
              </w:rPr>
              <w:t>责</w:t>
            </w:r>
          </w:p>
          <w:p>
            <w:pPr>
              <w:jc w:val="center"/>
              <w:rPr>
                <w:rFonts w:ascii="Times New Roman" w:hAnsi="Times New Roman" w:eastAsia="仿宋" w:cs="Times New Roman"/>
                <w:b/>
                <w:sz w:val="24"/>
              </w:rPr>
            </w:pPr>
            <w:r>
              <w:rPr>
                <w:rFonts w:ascii="Times New Roman" w:hAnsi="Times New Roman" w:eastAsia="仿宋" w:cs="Times New Roman"/>
                <w:b/>
                <w:sz w:val="24"/>
              </w:rPr>
              <w:t>人</w:t>
            </w:r>
          </w:p>
          <w:p>
            <w:pPr>
              <w:jc w:val="center"/>
              <w:rPr>
                <w:rFonts w:ascii="Times New Roman" w:hAnsi="Times New Roman" w:eastAsia="仿宋" w:cs="Times New Roman"/>
                <w:b/>
                <w:sz w:val="24"/>
              </w:rPr>
            </w:pP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姓名</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部门</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continue"/>
            <w:tcBorders>
              <w:left w:val="single" w:color="auto" w:sz="4" w:space="0"/>
              <w:right w:val="single" w:color="auto" w:sz="4" w:space="0"/>
            </w:tcBorders>
            <w:vAlign w:val="center"/>
          </w:tcPr>
          <w:p>
            <w:pPr>
              <w:jc w:val="center"/>
              <w:rPr>
                <w:rFonts w:ascii="Times New Roman" w:hAnsi="Times New Roman" w:eastAsia="仿宋" w:cs="Times New Roman"/>
                <w:b/>
                <w:sz w:val="24"/>
              </w:rPr>
            </w:pP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职务</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电话</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手机</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邮箱</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联</w:t>
            </w:r>
          </w:p>
          <w:p>
            <w:pPr>
              <w:jc w:val="center"/>
              <w:rPr>
                <w:rFonts w:ascii="Times New Roman" w:hAnsi="Times New Roman" w:eastAsia="仿宋" w:cs="Times New Roman"/>
                <w:b/>
                <w:sz w:val="24"/>
              </w:rPr>
            </w:pPr>
            <w:r>
              <w:rPr>
                <w:rFonts w:ascii="Times New Roman" w:hAnsi="Times New Roman" w:eastAsia="仿宋" w:cs="Times New Roman"/>
                <w:b/>
                <w:sz w:val="24"/>
              </w:rPr>
              <w:t>系</w:t>
            </w:r>
          </w:p>
          <w:p>
            <w:pPr>
              <w:jc w:val="center"/>
              <w:rPr>
                <w:rFonts w:ascii="Times New Roman" w:hAnsi="Times New Roman" w:eastAsia="仿宋" w:cs="Times New Roman"/>
                <w:b/>
                <w:sz w:val="24"/>
              </w:rPr>
            </w:pPr>
            <w:r>
              <w:rPr>
                <w:rFonts w:ascii="Times New Roman" w:hAnsi="Times New Roman" w:eastAsia="仿宋" w:cs="Times New Roman"/>
                <w:b/>
                <w:sz w:val="24"/>
              </w:rPr>
              <w:t>人</w:t>
            </w: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姓名</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部门</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continue"/>
            <w:tcBorders>
              <w:left w:val="single" w:color="auto" w:sz="4" w:space="0"/>
              <w:right w:val="single" w:color="auto" w:sz="4" w:space="0"/>
            </w:tcBorders>
            <w:vAlign w:val="center"/>
          </w:tcPr>
          <w:p>
            <w:pPr>
              <w:jc w:val="center"/>
              <w:rPr>
                <w:rFonts w:ascii="Times New Roman" w:hAnsi="Times New Roman" w:eastAsia="仿宋" w:cs="Times New Roman"/>
                <w:b/>
                <w:sz w:val="24"/>
              </w:rPr>
            </w:pP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职务</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电话</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手机</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邮箱</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6" w:hRule="atLeast"/>
          <w:jc w:val="center"/>
        </w:trPr>
        <w:tc>
          <w:tcPr>
            <w:tcW w:w="7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单</w:t>
            </w:r>
          </w:p>
          <w:p>
            <w:pPr>
              <w:jc w:val="center"/>
              <w:rPr>
                <w:rFonts w:ascii="Times New Roman" w:hAnsi="Times New Roman" w:eastAsia="仿宋" w:cs="Times New Roman"/>
                <w:b/>
                <w:sz w:val="24"/>
              </w:rPr>
            </w:pPr>
            <w:r>
              <w:rPr>
                <w:rFonts w:ascii="Times New Roman" w:hAnsi="Times New Roman" w:eastAsia="仿宋" w:cs="Times New Roman"/>
                <w:b/>
                <w:sz w:val="24"/>
              </w:rPr>
              <w:t>位</w:t>
            </w:r>
          </w:p>
          <w:p>
            <w:pPr>
              <w:jc w:val="center"/>
              <w:rPr>
                <w:rFonts w:ascii="Times New Roman" w:hAnsi="Times New Roman" w:eastAsia="仿宋" w:cs="Times New Roman"/>
                <w:b/>
                <w:sz w:val="24"/>
              </w:rPr>
            </w:pPr>
            <w:r>
              <w:rPr>
                <w:rFonts w:ascii="Times New Roman" w:hAnsi="Times New Roman" w:eastAsia="仿宋" w:cs="Times New Roman"/>
                <w:b/>
                <w:sz w:val="24"/>
              </w:rPr>
              <w:t>意</w:t>
            </w:r>
          </w:p>
          <w:p>
            <w:pPr>
              <w:jc w:val="center"/>
              <w:rPr>
                <w:rFonts w:ascii="Times New Roman" w:hAnsi="Times New Roman" w:eastAsia="仿宋" w:cs="Times New Roman"/>
                <w:b/>
                <w:sz w:val="24"/>
              </w:rPr>
            </w:pPr>
            <w:r>
              <w:rPr>
                <w:rFonts w:ascii="Times New Roman" w:hAnsi="Times New Roman" w:eastAsia="仿宋" w:cs="Times New Roman"/>
                <w:b/>
                <w:sz w:val="24"/>
              </w:rPr>
              <w:t>见</w:t>
            </w:r>
          </w:p>
        </w:tc>
        <w:tc>
          <w:tcPr>
            <w:tcW w:w="7747" w:type="dxa"/>
            <w:gridSpan w:val="5"/>
            <w:tcBorders>
              <w:top w:val="single" w:color="auto" w:sz="4" w:space="0"/>
              <w:left w:val="single" w:color="auto" w:sz="4" w:space="0"/>
              <w:bottom w:val="single" w:color="auto" w:sz="4" w:space="0"/>
              <w:right w:val="single" w:color="auto" w:sz="4" w:space="0"/>
            </w:tcBorders>
          </w:tcPr>
          <w:p>
            <w:pPr>
              <w:keepNext/>
              <w:keepLines/>
              <w:spacing w:before="340" w:after="330" w:line="578" w:lineRule="auto"/>
              <w:outlineLvl w:val="0"/>
              <w:rPr>
                <w:rFonts w:ascii="Times New Roman" w:hAnsi="Times New Roman" w:eastAsia="仿宋" w:cs="Times New Roman"/>
                <w:bCs/>
                <w:kern w:val="44"/>
                <w:sz w:val="24"/>
              </w:rPr>
            </w:pPr>
          </w:p>
          <w:p>
            <w:pPr>
              <w:rPr>
                <w:rFonts w:ascii="Times New Roman" w:hAnsi="Times New Roman" w:eastAsia="仿宋" w:cs="Times New Roman"/>
                <w:sz w:val="24"/>
              </w:rPr>
            </w:pPr>
            <w:r>
              <w:rPr>
                <w:rFonts w:ascii="Times New Roman" w:hAnsi="Times New Roman" w:eastAsia="仿宋" w:cs="Times New Roman"/>
                <w:sz w:val="24"/>
              </w:rPr>
              <w:t xml:space="preserve">                                            单位盖章</w:t>
            </w:r>
          </w:p>
          <w:p>
            <w:pPr>
              <w:rPr>
                <w:rFonts w:ascii="Times New Roman" w:hAnsi="Times New Roman" w:eastAsia="仿宋" w:cs="Times New Roman"/>
                <w:sz w:val="24"/>
              </w:rPr>
            </w:pPr>
            <w:r>
              <w:rPr>
                <w:rFonts w:ascii="Times New Roman" w:hAnsi="Times New Roman" w:eastAsia="仿宋"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7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汇</w:t>
            </w:r>
          </w:p>
          <w:p>
            <w:pPr>
              <w:jc w:val="center"/>
              <w:rPr>
                <w:rFonts w:ascii="Times New Roman" w:hAnsi="Times New Roman" w:eastAsia="仿宋" w:cs="Times New Roman"/>
                <w:b/>
                <w:sz w:val="24"/>
              </w:rPr>
            </w:pPr>
            <w:r>
              <w:rPr>
                <w:rFonts w:ascii="Times New Roman" w:hAnsi="Times New Roman" w:eastAsia="仿宋" w:cs="Times New Roman"/>
                <w:b/>
                <w:sz w:val="24"/>
              </w:rPr>
              <w:t>款</w:t>
            </w:r>
          </w:p>
          <w:p>
            <w:pPr>
              <w:jc w:val="center"/>
              <w:rPr>
                <w:rFonts w:ascii="Times New Roman" w:hAnsi="Times New Roman" w:eastAsia="仿宋" w:cs="Times New Roman"/>
                <w:b/>
                <w:sz w:val="24"/>
              </w:rPr>
            </w:pPr>
            <w:r>
              <w:rPr>
                <w:rFonts w:ascii="Times New Roman" w:hAnsi="Times New Roman" w:eastAsia="仿宋" w:cs="Times New Roman"/>
                <w:b/>
                <w:sz w:val="24"/>
              </w:rPr>
              <w:t>信</w:t>
            </w:r>
          </w:p>
          <w:p>
            <w:pPr>
              <w:jc w:val="center"/>
              <w:rPr>
                <w:rFonts w:ascii="Times New Roman" w:hAnsi="Times New Roman" w:eastAsia="仿宋" w:cs="Times New Roman"/>
                <w:b/>
                <w:sz w:val="24"/>
              </w:rPr>
            </w:pPr>
            <w:r>
              <w:rPr>
                <w:rFonts w:ascii="Times New Roman" w:hAnsi="Times New Roman" w:eastAsia="仿宋" w:cs="Times New Roman"/>
                <w:b/>
                <w:sz w:val="24"/>
              </w:rPr>
              <w:t>息</w:t>
            </w:r>
          </w:p>
        </w:tc>
        <w:tc>
          <w:tcPr>
            <w:tcW w:w="3874"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eastAsia="仿宋" w:cs="Times New Roman"/>
                <w:sz w:val="24"/>
              </w:rPr>
            </w:pPr>
            <w:r>
              <w:rPr>
                <w:rFonts w:ascii="Times New Roman" w:hAnsi="Times New Roman" w:eastAsia="仿宋" w:cs="Times New Roman"/>
                <w:sz w:val="24"/>
              </w:rPr>
              <w:t>收款单位：国家教育行政学院</w:t>
            </w:r>
          </w:p>
          <w:p>
            <w:pPr>
              <w:rPr>
                <w:rFonts w:ascii="Times New Roman" w:hAnsi="Times New Roman" w:eastAsia="仿宋" w:cs="Times New Roman"/>
                <w:sz w:val="24"/>
              </w:rPr>
            </w:pPr>
            <w:r>
              <w:rPr>
                <w:rFonts w:ascii="Times New Roman" w:hAnsi="Times New Roman" w:eastAsia="仿宋" w:cs="Times New Roman"/>
                <w:sz w:val="24"/>
              </w:rPr>
              <w:t>地址电话：北京市大兴区清源北路8号 010-69248888</w:t>
            </w:r>
          </w:p>
          <w:p>
            <w:pPr>
              <w:rPr>
                <w:rFonts w:ascii="Times New Roman" w:hAnsi="Times New Roman" w:eastAsia="仿宋" w:cs="Times New Roman"/>
                <w:sz w:val="24"/>
              </w:rPr>
            </w:pPr>
            <w:r>
              <w:rPr>
                <w:rFonts w:ascii="Times New Roman" w:hAnsi="Times New Roman" w:eastAsia="仿宋" w:cs="Times New Roman"/>
                <w:sz w:val="24"/>
              </w:rPr>
              <w:t>开户银行：工行北京体育场支行</w:t>
            </w:r>
          </w:p>
          <w:p>
            <w:pPr>
              <w:rPr>
                <w:rFonts w:ascii="Times New Roman" w:hAnsi="Times New Roman" w:eastAsia="仿宋" w:cs="Times New Roman"/>
                <w:sz w:val="24"/>
              </w:rPr>
            </w:pPr>
            <w:r>
              <w:rPr>
                <w:rFonts w:ascii="Times New Roman" w:hAnsi="Times New Roman" w:eastAsia="仿宋" w:cs="Times New Roman"/>
                <w:sz w:val="24"/>
              </w:rPr>
              <w:t>账号：0200053009014409667</w:t>
            </w:r>
          </w:p>
          <w:p>
            <w:pPr>
              <w:rPr>
                <w:rFonts w:ascii="Times New Roman" w:hAnsi="Times New Roman" w:eastAsia="仿宋" w:cs="Times New Roman"/>
                <w:sz w:val="24"/>
              </w:rPr>
            </w:pPr>
            <w:r>
              <w:rPr>
                <w:rFonts w:ascii="Times New Roman" w:hAnsi="Times New Roman" w:eastAsia="仿宋" w:cs="Times New Roman"/>
                <w:sz w:val="24"/>
              </w:rPr>
              <w:t>联行号：102100005307</w:t>
            </w:r>
          </w:p>
          <w:p>
            <w:pPr>
              <w:rPr>
                <w:rFonts w:ascii="Times New Roman" w:hAnsi="Times New Roman" w:eastAsia="仿宋" w:cs="Times New Roman"/>
                <w:sz w:val="24"/>
              </w:rPr>
            </w:pPr>
            <w:r>
              <w:rPr>
                <w:rFonts w:ascii="Times New Roman" w:hAnsi="Times New Roman" w:eastAsia="仿宋" w:cs="Times New Roman"/>
                <w:sz w:val="24"/>
              </w:rPr>
              <w:t>请在汇款时说明：</w:t>
            </w:r>
            <w:r>
              <w:rPr>
                <w:rFonts w:hint="eastAsia" w:ascii="Times New Roman" w:hAnsi="Times New Roman" w:eastAsia="仿宋" w:cs="Times New Roman"/>
                <w:b/>
                <w:bCs/>
                <w:sz w:val="24"/>
              </w:rPr>
              <w:t>2021年高校一流课程建设与申报专题</w:t>
            </w:r>
          </w:p>
        </w:tc>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rPr>
            </w:pPr>
            <w:r>
              <w:rPr>
                <w:rFonts w:ascii="Times New Roman" w:hAnsi="Times New Roman" w:eastAsia="仿宋" w:cs="Times New Roman"/>
                <w:b/>
                <w:bCs/>
                <w:sz w:val="24"/>
              </w:rPr>
              <w:t>开票信息</w:t>
            </w:r>
          </w:p>
        </w:tc>
        <w:tc>
          <w:tcPr>
            <w:tcW w:w="3299"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4"/>
              </w:rPr>
            </w:pPr>
            <w:r>
              <w:rPr>
                <w:rFonts w:ascii="Times New Roman" w:hAnsi="Times New Roman" w:eastAsia="仿宋" w:cs="Times New Roman"/>
                <w:sz w:val="24"/>
              </w:rPr>
              <w:t>发票抬头:</w:t>
            </w:r>
          </w:p>
          <w:p>
            <w:pPr>
              <w:keepNext/>
              <w:keepLines/>
              <w:outlineLvl w:val="0"/>
              <w:rPr>
                <w:rFonts w:ascii="Times New Roman" w:hAnsi="Times New Roman" w:eastAsia="仿宋" w:cs="Times New Roman"/>
                <w:bCs/>
                <w:kern w:val="44"/>
                <w:sz w:val="24"/>
              </w:rPr>
            </w:pPr>
          </w:p>
          <w:p>
            <w:pPr>
              <w:rPr>
                <w:rFonts w:ascii="Times New Roman" w:hAnsi="Times New Roman" w:eastAsia="仿宋" w:cs="Times New Roman"/>
                <w:sz w:val="24"/>
              </w:rPr>
            </w:pPr>
            <w:r>
              <w:rPr>
                <w:rFonts w:ascii="Times New Roman" w:hAnsi="Times New Roman" w:eastAsia="仿宋" w:cs="Times New Roman"/>
                <w:sz w:val="24"/>
              </w:rPr>
              <w:t>纳税人识别号：</w:t>
            </w:r>
          </w:p>
          <w:p>
            <w:pPr>
              <w:keepNext/>
              <w:keepLines/>
              <w:outlineLvl w:val="0"/>
              <w:rPr>
                <w:rFonts w:ascii="Times New Roman" w:hAnsi="Times New Roman" w:eastAsia="仿宋" w:cs="Times New Roman"/>
                <w:bCs/>
                <w:kern w:val="44"/>
                <w:sz w:val="24"/>
              </w:rPr>
            </w:pPr>
          </w:p>
          <w:p>
            <w:pPr>
              <w:rPr>
                <w:rFonts w:ascii="Times New Roman" w:hAnsi="Times New Roman" w:eastAsia="仿宋" w:cs="Times New Roman"/>
                <w:sz w:val="24"/>
              </w:rPr>
            </w:pPr>
            <w:r>
              <w:rPr>
                <w:rFonts w:ascii="Times New Roman" w:hAnsi="Times New Roman" w:eastAsia="仿宋" w:cs="Times New Roman"/>
                <w:sz w:val="24"/>
              </w:rPr>
              <w:t>开票金额：</w:t>
            </w:r>
          </w:p>
        </w:tc>
      </w:tr>
    </w:tbl>
    <w:p>
      <w:r>
        <w:rPr>
          <w:rFonts w:hint="eastAsia" w:ascii="Times New Roman" w:hAnsi="Times New Roman" w:eastAsia="仿宋" w:cs="Times New Roman"/>
          <w:b/>
          <w:bCs/>
        </w:rPr>
        <w:t>说明：</w:t>
      </w:r>
      <w:r>
        <w:rPr>
          <w:rFonts w:hint="eastAsia" w:ascii="Times New Roman" w:hAnsi="Times New Roman" w:eastAsia="仿宋" w:cs="Times New Roman"/>
        </w:rPr>
        <w:t>请参训单位认真填写此表，与国家教育行政学院联系，以便尽快安排培训。</w:t>
      </w:r>
      <w:bookmarkEnd w:id="0"/>
    </w:p>
    <w:sectPr>
      <w:footerReference r:id="rId4" w:type="default"/>
      <w:pgSz w:w="11906" w:h="16838"/>
      <w:pgMar w:top="1440" w:right="1800" w:bottom="1440" w:left="16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3900507"/>
    </w:sdtPr>
    <w:sdtContent>
      <w:p>
        <w:pPr>
          <w:pStyle w:val="4"/>
          <w:jc w:val="center"/>
        </w:pPr>
        <w:r>
          <w:fldChar w:fldCharType="begin"/>
        </w:r>
        <w:r>
          <w:instrText xml:space="preserve">PAGE   \* MERGEFORMAT</w:instrText>
        </w:r>
        <w:r>
          <w:fldChar w:fldCharType="separate"/>
        </w:r>
        <w:r>
          <w:rPr>
            <w:lang w:val="zh-CN"/>
          </w:rPr>
          <w:t>5</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3360A"/>
    <w:multiLevelType w:val="singleLevel"/>
    <w:tmpl w:val="1C13360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BD2"/>
    <w:rsid w:val="000828E2"/>
    <w:rsid w:val="000C4B84"/>
    <w:rsid w:val="0013303D"/>
    <w:rsid w:val="00196944"/>
    <w:rsid w:val="001C7261"/>
    <w:rsid w:val="001E6C65"/>
    <w:rsid w:val="0021159F"/>
    <w:rsid w:val="00293AE0"/>
    <w:rsid w:val="002F2DD0"/>
    <w:rsid w:val="00332293"/>
    <w:rsid w:val="003D4840"/>
    <w:rsid w:val="00556D85"/>
    <w:rsid w:val="00591B54"/>
    <w:rsid w:val="00592239"/>
    <w:rsid w:val="00646414"/>
    <w:rsid w:val="006E3646"/>
    <w:rsid w:val="006E78B5"/>
    <w:rsid w:val="00760A70"/>
    <w:rsid w:val="00765653"/>
    <w:rsid w:val="00864981"/>
    <w:rsid w:val="00912BD2"/>
    <w:rsid w:val="00926B0D"/>
    <w:rsid w:val="009952D9"/>
    <w:rsid w:val="009A39F1"/>
    <w:rsid w:val="00A8629E"/>
    <w:rsid w:val="00AA139A"/>
    <w:rsid w:val="00C14561"/>
    <w:rsid w:val="00C54618"/>
    <w:rsid w:val="00C56A0E"/>
    <w:rsid w:val="00C719AC"/>
    <w:rsid w:val="00D51928"/>
    <w:rsid w:val="00E4138A"/>
    <w:rsid w:val="00E71651"/>
    <w:rsid w:val="04672857"/>
    <w:rsid w:val="04EF5850"/>
    <w:rsid w:val="0562581A"/>
    <w:rsid w:val="077C7453"/>
    <w:rsid w:val="08765192"/>
    <w:rsid w:val="0AA3731A"/>
    <w:rsid w:val="0CD054AB"/>
    <w:rsid w:val="15562CE9"/>
    <w:rsid w:val="1774652E"/>
    <w:rsid w:val="1BCB46AB"/>
    <w:rsid w:val="1EF814A6"/>
    <w:rsid w:val="1F166DF6"/>
    <w:rsid w:val="220A5C15"/>
    <w:rsid w:val="2484268C"/>
    <w:rsid w:val="268031A9"/>
    <w:rsid w:val="2E4E5AB1"/>
    <w:rsid w:val="32A37B72"/>
    <w:rsid w:val="385A3883"/>
    <w:rsid w:val="3B27123C"/>
    <w:rsid w:val="3BC8470E"/>
    <w:rsid w:val="3DA40C85"/>
    <w:rsid w:val="3DE006D9"/>
    <w:rsid w:val="3F3B6048"/>
    <w:rsid w:val="3F8C64BE"/>
    <w:rsid w:val="4018149D"/>
    <w:rsid w:val="41CC6207"/>
    <w:rsid w:val="43130214"/>
    <w:rsid w:val="4510012F"/>
    <w:rsid w:val="46DD7C16"/>
    <w:rsid w:val="49E73261"/>
    <w:rsid w:val="4CD470AF"/>
    <w:rsid w:val="4E011EB9"/>
    <w:rsid w:val="4F9D7987"/>
    <w:rsid w:val="51DE0FB8"/>
    <w:rsid w:val="5524107D"/>
    <w:rsid w:val="59202B0B"/>
    <w:rsid w:val="5A1A0AA4"/>
    <w:rsid w:val="5B4B2B03"/>
    <w:rsid w:val="5C967E15"/>
    <w:rsid w:val="61CA1242"/>
    <w:rsid w:val="67C372C4"/>
    <w:rsid w:val="687E40FC"/>
    <w:rsid w:val="69582626"/>
    <w:rsid w:val="6AB97641"/>
    <w:rsid w:val="6EB32271"/>
    <w:rsid w:val="6FC57DB2"/>
    <w:rsid w:val="70D1486C"/>
    <w:rsid w:val="7321262F"/>
    <w:rsid w:val="73CB78EB"/>
    <w:rsid w:val="763679D3"/>
    <w:rsid w:val="76DC35D9"/>
    <w:rsid w:val="77BE55A3"/>
    <w:rsid w:val="7A120771"/>
    <w:rsid w:val="7BFD1FCC"/>
    <w:rsid w:val="7CE452A1"/>
    <w:rsid w:val="7ECA6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uiPriority w:val="99"/>
    <w:pPr>
      <w:jc w:val="left"/>
    </w:p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8"/>
    <w:semiHidden/>
    <w:unhideWhenUsed/>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qFormat/>
    <w:uiPriority w:val="20"/>
    <w:rPr>
      <w:i/>
      <w:iCs/>
    </w:rPr>
  </w:style>
  <w:style w:type="character" w:styleId="11">
    <w:name w:val="Hyperlink"/>
    <w:basedOn w:val="9"/>
    <w:semiHidden/>
    <w:unhideWhenUsed/>
    <w:qFormat/>
    <w:uiPriority w:val="99"/>
    <w:rPr>
      <w:color w:val="0000FF"/>
      <w:u w:val="single"/>
    </w:rPr>
  </w:style>
  <w:style w:type="character" w:styleId="12">
    <w:name w:val="annotation reference"/>
    <w:basedOn w:val="9"/>
    <w:semiHidden/>
    <w:unhideWhenUsed/>
    <w:uiPriority w:val="99"/>
    <w:rPr>
      <w:sz w:val="21"/>
      <w:szCs w:val="21"/>
    </w:rPr>
  </w:style>
  <w:style w:type="character" w:customStyle="1" w:styleId="13">
    <w:name w:val="页脚 字符"/>
    <w:basedOn w:val="9"/>
    <w:link w:val="4"/>
    <w:qFormat/>
    <w:uiPriority w:val="99"/>
    <w:rPr>
      <w:sz w:val="18"/>
      <w:szCs w:val="18"/>
    </w:rPr>
  </w:style>
  <w:style w:type="character" w:customStyle="1" w:styleId="14">
    <w:name w:val="标题 1 字符"/>
    <w:basedOn w:val="9"/>
    <w:link w:val="2"/>
    <w:qFormat/>
    <w:uiPriority w:val="9"/>
    <w:rPr>
      <w:b/>
      <w:bCs/>
      <w:kern w:val="44"/>
      <w:sz w:val="44"/>
      <w:szCs w:val="44"/>
    </w:rPr>
  </w:style>
  <w:style w:type="character" w:customStyle="1" w:styleId="15">
    <w:name w:val="页眉 字符"/>
    <w:basedOn w:val="9"/>
    <w:link w:val="5"/>
    <w:qFormat/>
    <w:uiPriority w:val="99"/>
    <w:rPr>
      <w:sz w:val="18"/>
      <w:szCs w:val="18"/>
    </w:rPr>
  </w:style>
  <w:style w:type="paragraph" w:customStyle="1" w:styleId="16">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character" w:customStyle="1" w:styleId="17">
    <w:name w:val="批注文字 字符"/>
    <w:basedOn w:val="9"/>
    <w:link w:val="3"/>
    <w:semiHidden/>
    <w:uiPriority w:val="99"/>
    <w:rPr>
      <w:rFonts w:asciiTheme="minorHAnsi" w:hAnsiTheme="minorHAnsi" w:eastAsiaTheme="minorEastAsia" w:cstheme="minorBidi"/>
      <w:kern w:val="2"/>
      <w:sz w:val="21"/>
      <w:szCs w:val="24"/>
    </w:rPr>
  </w:style>
  <w:style w:type="character" w:customStyle="1" w:styleId="18">
    <w:name w:val="批注主题 字符"/>
    <w:basedOn w:val="17"/>
    <w:link w:val="6"/>
    <w:semiHidden/>
    <w:uiPriority w:val="99"/>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547</Words>
  <Characters>3121</Characters>
  <Lines>26</Lines>
  <Paragraphs>7</Paragraphs>
  <TotalTime>2</TotalTime>
  <ScaleCrop>false</ScaleCrop>
  <LinksUpToDate>false</LinksUpToDate>
  <CharactersWithSpaces>3661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2020-09-09T01:40:00Z</dcterms:created>
  <dc:creator>liyanhui</dc:creator>
  <cp:lastModifiedBy>平原</cp:lastModifiedBy>
  <dcterms:modified xsi:type="dcterms:W3CDTF">2021-08-30T02:36:43Z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306066664_cloud</vt:lpwstr>
  </property>
  <property fmtid="{D5CDD505-2E9C-101B-9397-08002B2CF9AE}" pid="3" name="KSOProductBuildVer">
    <vt:lpwstr>2052-11.1.0.10314</vt:lpwstr>
  </property>
  <property fmtid="{D5CDD505-2E9C-101B-9397-08002B2CF9AE}" pid="4" name="ICV">
    <vt:lpwstr>B79E3930DFA24E2C966484096F16E67D</vt:lpwstr>
  </property>
</Properties>
</file>